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706FA2" w14:textId="58B01657" w:rsidR="00A209D6" w:rsidRPr="004C4BB6" w:rsidRDefault="00A209D6" w:rsidP="00A209D6">
      <w:pPr>
        <w:pStyle w:val="Header"/>
        <w:tabs>
          <w:tab w:val="right" w:pos="9639"/>
        </w:tabs>
        <w:rPr>
          <w:bCs/>
          <w:i/>
          <w:noProof w:val="0"/>
          <w:sz w:val="24"/>
          <w:szCs w:val="24"/>
        </w:rPr>
      </w:pPr>
      <w:r w:rsidRPr="003A41EF">
        <w:rPr>
          <w:bCs/>
          <w:noProof w:val="0"/>
          <w:sz w:val="24"/>
          <w:szCs w:val="24"/>
        </w:rPr>
        <w:t xml:space="preserve">3GPP </w:t>
      </w:r>
      <w:r w:rsidRPr="004C4BB6">
        <w:rPr>
          <w:bCs/>
          <w:noProof w:val="0"/>
          <w:sz w:val="24"/>
          <w:szCs w:val="24"/>
        </w:rPr>
        <w:t>TSG-RAN WG2 Meeting #</w:t>
      </w:r>
      <w:r w:rsidR="0036459E" w:rsidRPr="004C4BB6">
        <w:rPr>
          <w:bCs/>
          <w:noProof w:val="0"/>
          <w:sz w:val="24"/>
          <w:szCs w:val="24"/>
        </w:rPr>
        <w:t>1</w:t>
      </w:r>
      <w:r w:rsidR="008B54E8" w:rsidRPr="004C4BB6">
        <w:rPr>
          <w:bCs/>
          <w:noProof w:val="0"/>
          <w:sz w:val="24"/>
          <w:szCs w:val="24"/>
        </w:rPr>
        <w:t>2</w:t>
      </w:r>
      <w:r w:rsidR="00A1067A" w:rsidRPr="004C4BB6">
        <w:rPr>
          <w:bCs/>
          <w:noProof w:val="0"/>
          <w:sz w:val="24"/>
          <w:szCs w:val="24"/>
        </w:rPr>
        <w:t>3</w:t>
      </w:r>
      <w:r w:rsidRPr="004C4BB6">
        <w:rPr>
          <w:bCs/>
          <w:noProof w:val="0"/>
          <w:sz w:val="24"/>
          <w:szCs w:val="24"/>
        </w:rPr>
        <w:tab/>
      </w:r>
      <w:r w:rsidRPr="004C4BB6">
        <w:rPr>
          <w:rFonts w:hint="eastAsia"/>
          <w:sz w:val="24"/>
          <w:szCs w:val="24"/>
        </w:rPr>
        <w:t>R</w:t>
      </w:r>
      <w:r w:rsidRPr="004C4BB6">
        <w:rPr>
          <w:sz w:val="24"/>
          <w:szCs w:val="24"/>
        </w:rPr>
        <w:t>2</w:t>
      </w:r>
      <w:r w:rsidRPr="004C4BB6">
        <w:rPr>
          <w:rFonts w:hint="eastAsia"/>
          <w:sz w:val="24"/>
          <w:szCs w:val="24"/>
        </w:rPr>
        <w:t>-</w:t>
      </w:r>
      <w:r w:rsidR="007239C2" w:rsidRPr="004C4BB6">
        <w:rPr>
          <w:bCs/>
          <w:noProof w:val="0"/>
          <w:sz w:val="24"/>
          <w:szCs w:val="24"/>
        </w:rPr>
        <w:t>2307577</w:t>
      </w:r>
    </w:p>
    <w:p w14:paraId="11776FA6" w14:textId="41C2552A" w:rsidR="00A209D6" w:rsidRPr="004C4BB6" w:rsidRDefault="00A1067A" w:rsidP="00A209D6">
      <w:pPr>
        <w:pStyle w:val="Header"/>
        <w:tabs>
          <w:tab w:val="right" w:pos="9639"/>
        </w:tabs>
        <w:rPr>
          <w:rFonts w:eastAsia="SimSun"/>
          <w:bCs/>
          <w:sz w:val="24"/>
          <w:szCs w:val="24"/>
          <w:lang w:eastAsia="zh-CN"/>
        </w:rPr>
      </w:pPr>
      <w:r w:rsidRPr="004C4BB6">
        <w:rPr>
          <w:rFonts w:eastAsia="SimSun"/>
          <w:bCs/>
          <w:sz w:val="24"/>
          <w:szCs w:val="24"/>
          <w:lang w:eastAsia="zh-CN"/>
        </w:rPr>
        <w:t>Toulouse</w:t>
      </w:r>
      <w:r w:rsidR="00520402" w:rsidRPr="004C4BB6">
        <w:rPr>
          <w:rFonts w:eastAsia="SimSun"/>
          <w:bCs/>
          <w:sz w:val="24"/>
          <w:szCs w:val="24"/>
          <w:lang w:eastAsia="zh-CN"/>
        </w:rPr>
        <w:t xml:space="preserve">, </w:t>
      </w:r>
      <w:r w:rsidRPr="004C4BB6">
        <w:rPr>
          <w:rFonts w:eastAsia="SimSun"/>
          <w:bCs/>
          <w:sz w:val="24"/>
          <w:szCs w:val="24"/>
          <w:lang w:eastAsia="zh-CN"/>
        </w:rPr>
        <w:t>France</w:t>
      </w:r>
      <w:r w:rsidR="003D0FD0" w:rsidRPr="004C4BB6">
        <w:rPr>
          <w:rFonts w:eastAsia="SimSun"/>
          <w:bCs/>
          <w:sz w:val="24"/>
          <w:szCs w:val="24"/>
          <w:lang w:eastAsia="zh-CN"/>
        </w:rPr>
        <w:t xml:space="preserve">, </w:t>
      </w:r>
      <w:r w:rsidR="00520402" w:rsidRPr="004C4BB6">
        <w:rPr>
          <w:rFonts w:eastAsia="SimSun"/>
          <w:bCs/>
          <w:sz w:val="24"/>
          <w:szCs w:val="24"/>
          <w:lang w:eastAsia="zh-CN"/>
        </w:rPr>
        <w:t>2</w:t>
      </w:r>
      <w:r w:rsidRPr="004C4BB6">
        <w:rPr>
          <w:rFonts w:eastAsia="SimSun"/>
          <w:bCs/>
          <w:sz w:val="24"/>
          <w:szCs w:val="24"/>
          <w:lang w:eastAsia="zh-CN"/>
        </w:rPr>
        <w:t>1</w:t>
      </w:r>
      <w:r w:rsidRPr="004C4BB6">
        <w:rPr>
          <w:rFonts w:eastAsia="SimSun"/>
          <w:bCs/>
          <w:sz w:val="24"/>
          <w:szCs w:val="24"/>
          <w:vertAlign w:val="superscript"/>
          <w:lang w:eastAsia="zh-CN"/>
        </w:rPr>
        <w:t>st</w:t>
      </w:r>
      <w:r w:rsidR="00520402" w:rsidRPr="004C4BB6">
        <w:rPr>
          <w:rFonts w:eastAsia="SimSun"/>
          <w:bCs/>
          <w:sz w:val="24"/>
          <w:szCs w:val="24"/>
          <w:lang w:eastAsia="zh-CN"/>
        </w:rPr>
        <w:t>-2</w:t>
      </w:r>
      <w:r w:rsidRPr="004C4BB6">
        <w:rPr>
          <w:rFonts w:eastAsia="SimSun"/>
          <w:bCs/>
          <w:sz w:val="24"/>
          <w:szCs w:val="24"/>
          <w:lang w:eastAsia="zh-CN"/>
        </w:rPr>
        <w:t>5</w:t>
      </w:r>
      <w:r w:rsidR="00520402" w:rsidRPr="004C4BB6">
        <w:rPr>
          <w:rFonts w:eastAsia="SimSun"/>
          <w:bCs/>
          <w:sz w:val="24"/>
          <w:szCs w:val="24"/>
          <w:vertAlign w:val="superscript"/>
          <w:lang w:eastAsia="zh-CN"/>
        </w:rPr>
        <w:t>th</w:t>
      </w:r>
      <w:r w:rsidR="00520402" w:rsidRPr="004C4BB6">
        <w:rPr>
          <w:rFonts w:eastAsia="SimSun"/>
          <w:bCs/>
          <w:sz w:val="24"/>
          <w:szCs w:val="24"/>
          <w:lang w:eastAsia="zh-CN"/>
        </w:rPr>
        <w:t xml:space="preserve"> of </w:t>
      </w:r>
      <w:r w:rsidRPr="004C4BB6">
        <w:rPr>
          <w:rFonts w:eastAsia="SimSun"/>
          <w:bCs/>
          <w:sz w:val="24"/>
          <w:szCs w:val="24"/>
          <w:lang w:eastAsia="zh-CN"/>
        </w:rPr>
        <w:t>August</w:t>
      </w:r>
      <w:r w:rsidR="003D0FD0" w:rsidRPr="004C4BB6">
        <w:rPr>
          <w:rFonts w:eastAsia="SimSun"/>
          <w:bCs/>
          <w:sz w:val="24"/>
          <w:szCs w:val="24"/>
          <w:lang w:eastAsia="zh-CN"/>
        </w:rPr>
        <w:t xml:space="preserve"> 2023</w:t>
      </w:r>
      <w:r w:rsidR="00A209D6" w:rsidRPr="004C4BB6">
        <w:rPr>
          <w:rFonts w:eastAsia="SimSun"/>
          <w:noProof w:val="0"/>
          <w:sz w:val="24"/>
          <w:szCs w:val="24"/>
          <w:lang w:eastAsia="zh-CN"/>
        </w:rPr>
        <w:tab/>
      </w:r>
    </w:p>
    <w:p w14:paraId="2E02E5F5" w14:textId="77777777" w:rsidR="00A209D6" w:rsidRPr="004C4BB6" w:rsidRDefault="00A209D6" w:rsidP="00A209D6">
      <w:pPr>
        <w:pStyle w:val="Header"/>
        <w:rPr>
          <w:bCs/>
          <w:noProof w:val="0"/>
          <w:sz w:val="24"/>
        </w:rPr>
      </w:pPr>
    </w:p>
    <w:p w14:paraId="403CB9C0" w14:textId="77777777" w:rsidR="00A209D6" w:rsidRPr="004C4BB6" w:rsidRDefault="00A209D6" w:rsidP="00A209D6">
      <w:pPr>
        <w:pStyle w:val="Header"/>
        <w:rPr>
          <w:bCs/>
          <w:noProof w:val="0"/>
          <w:sz w:val="24"/>
        </w:rPr>
      </w:pPr>
    </w:p>
    <w:p w14:paraId="310B92C9" w14:textId="0B5472F0" w:rsidR="00446C3A" w:rsidRPr="004C4BB6" w:rsidRDefault="00446C3A" w:rsidP="00446C3A">
      <w:pPr>
        <w:pStyle w:val="CRCoverPage"/>
        <w:tabs>
          <w:tab w:val="left" w:pos="1985"/>
        </w:tabs>
        <w:rPr>
          <w:rFonts w:cs="Arial"/>
          <w:b/>
          <w:bCs/>
          <w:sz w:val="24"/>
          <w:lang w:eastAsia="ja-JP"/>
        </w:rPr>
      </w:pPr>
      <w:r w:rsidRPr="004C4BB6">
        <w:rPr>
          <w:rFonts w:cs="Arial"/>
          <w:b/>
          <w:bCs/>
          <w:sz w:val="24"/>
        </w:rPr>
        <w:t>Agenda item:</w:t>
      </w:r>
      <w:r w:rsidRPr="004C4BB6">
        <w:rPr>
          <w:rFonts w:cs="Arial"/>
          <w:b/>
          <w:bCs/>
          <w:sz w:val="24"/>
        </w:rPr>
        <w:tab/>
      </w:r>
      <w:r w:rsidR="0046493B" w:rsidRPr="00AC152D">
        <w:rPr>
          <w:rFonts w:cs="Arial"/>
          <w:b/>
          <w:bCs/>
          <w:sz w:val="24"/>
          <w:lang w:eastAsia="ja-JP"/>
        </w:rPr>
        <w:t>7.4.2.2</w:t>
      </w:r>
    </w:p>
    <w:p w14:paraId="73188B46" w14:textId="77777777" w:rsidR="00446C3A" w:rsidRPr="004C4BB6" w:rsidRDefault="00446C3A" w:rsidP="00446C3A">
      <w:pPr>
        <w:tabs>
          <w:tab w:val="left" w:pos="1985"/>
        </w:tabs>
        <w:ind w:left="1985" w:hanging="1985"/>
        <w:rPr>
          <w:rFonts w:ascii="Arial" w:hAnsi="Arial" w:cs="Arial"/>
          <w:b/>
          <w:bCs/>
          <w:sz w:val="24"/>
        </w:rPr>
      </w:pPr>
      <w:r w:rsidRPr="004C4BB6">
        <w:rPr>
          <w:rFonts w:ascii="Arial" w:hAnsi="Arial" w:cs="Arial"/>
          <w:b/>
          <w:bCs/>
          <w:sz w:val="24"/>
        </w:rPr>
        <w:t>Source:</w:t>
      </w:r>
      <w:r w:rsidRPr="004C4BB6">
        <w:rPr>
          <w:rFonts w:ascii="Arial" w:hAnsi="Arial" w:cs="Arial"/>
          <w:b/>
          <w:bCs/>
          <w:sz w:val="24"/>
        </w:rPr>
        <w:tab/>
        <w:t>Nokia, Nokia Shanghai Bell</w:t>
      </w:r>
    </w:p>
    <w:p w14:paraId="553D264F" w14:textId="523E4106" w:rsidR="00446C3A" w:rsidRDefault="00446C3A" w:rsidP="7F482B67">
      <w:pPr>
        <w:ind w:left="1985" w:hanging="1985"/>
        <w:rPr>
          <w:rFonts w:ascii="Arial" w:hAnsi="Arial" w:cs="Arial"/>
          <w:b/>
          <w:bCs/>
          <w:sz w:val="24"/>
          <w:szCs w:val="24"/>
        </w:rPr>
      </w:pPr>
      <w:r w:rsidRPr="004C4BB6">
        <w:rPr>
          <w:rFonts w:ascii="Arial" w:hAnsi="Arial" w:cs="Arial"/>
          <w:b/>
          <w:bCs/>
          <w:sz w:val="24"/>
          <w:szCs w:val="24"/>
        </w:rPr>
        <w:t>Title:</w:t>
      </w:r>
      <w:r w:rsidRPr="004C4BB6">
        <w:tab/>
      </w:r>
      <w:r w:rsidR="00406A5A" w:rsidRPr="00AC152D">
        <w:rPr>
          <w:rFonts w:ascii="Arial" w:hAnsi="Arial" w:cs="Arial"/>
          <w:b/>
          <w:bCs/>
          <w:sz w:val="24"/>
          <w:szCs w:val="24"/>
        </w:rPr>
        <w:t xml:space="preserve">On </w:t>
      </w:r>
      <w:r w:rsidR="00460EFC" w:rsidRPr="00AC152D">
        <w:rPr>
          <w:rFonts w:ascii="Arial" w:hAnsi="Arial" w:cs="Arial"/>
          <w:b/>
          <w:bCs/>
          <w:sz w:val="24"/>
          <w:szCs w:val="24"/>
        </w:rPr>
        <w:t>Reference</w:t>
      </w:r>
      <w:r w:rsidR="00E37505" w:rsidRPr="00AC152D">
        <w:rPr>
          <w:rFonts w:ascii="Arial" w:hAnsi="Arial" w:cs="Arial"/>
          <w:b/>
          <w:bCs/>
          <w:sz w:val="24"/>
          <w:szCs w:val="24"/>
        </w:rPr>
        <w:t xml:space="preserve"> Configuration,</w:t>
      </w:r>
      <w:r w:rsidR="00460EFC" w:rsidRPr="00AC152D">
        <w:rPr>
          <w:rFonts w:ascii="Arial" w:hAnsi="Arial" w:cs="Arial"/>
          <w:b/>
          <w:bCs/>
          <w:sz w:val="24"/>
          <w:szCs w:val="24"/>
        </w:rPr>
        <w:t xml:space="preserve"> </w:t>
      </w:r>
      <w:r w:rsidR="0BA90138" w:rsidRPr="00AC152D">
        <w:rPr>
          <w:rFonts w:ascii="Arial" w:hAnsi="Arial" w:cs="Arial"/>
          <w:b/>
          <w:bCs/>
          <w:sz w:val="24"/>
          <w:szCs w:val="24"/>
        </w:rPr>
        <w:t>Subsequent LTM</w:t>
      </w:r>
      <w:r w:rsidR="00CA5274" w:rsidRPr="004C4BB6">
        <w:rPr>
          <w:rFonts w:ascii="Arial" w:hAnsi="Arial" w:cs="Arial"/>
          <w:b/>
          <w:bCs/>
          <w:sz w:val="24"/>
          <w:szCs w:val="24"/>
        </w:rPr>
        <w:t xml:space="preserve"> and L3 mobility</w:t>
      </w:r>
    </w:p>
    <w:p w14:paraId="25F387E8" w14:textId="1D145FA9"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C6304" w:rsidRPr="00BC6304">
        <w:rPr>
          <w:rFonts w:ascii="Arial" w:hAnsi="Arial" w:cs="Arial"/>
          <w:b/>
          <w:bCs/>
          <w:sz w:val="24"/>
        </w:rPr>
        <w:t xml:space="preserve">NR_Mob_enh2-Core </w:t>
      </w:r>
      <w:r>
        <w:rPr>
          <w:rFonts w:ascii="Arial" w:hAnsi="Arial" w:cs="Arial"/>
          <w:b/>
          <w:bCs/>
          <w:sz w:val="24"/>
        </w:rPr>
        <w:t xml:space="preserve">- Release </w:t>
      </w:r>
      <w:r w:rsidR="00E62356">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6912591F" w:rsidR="00A209D6" w:rsidRDefault="00A209D6" w:rsidP="00A209D6">
      <w:pPr>
        <w:pStyle w:val="Heading1"/>
      </w:pPr>
      <w:r w:rsidRPr="006E13D1">
        <w:t>1</w:t>
      </w:r>
      <w:r w:rsidRPr="006E13D1">
        <w:tab/>
      </w:r>
      <w:r>
        <w:t>Introduction</w:t>
      </w:r>
    </w:p>
    <w:p w14:paraId="1CE99B62" w14:textId="01C63879" w:rsidR="00CA5F51" w:rsidRPr="005E4D07" w:rsidRDefault="00CA5F51" w:rsidP="00CA5F51">
      <w:pPr>
        <w:rPr>
          <w:lang w:val="en-US"/>
        </w:rPr>
      </w:pPr>
      <w:r w:rsidRPr="00AC152D">
        <w:rPr>
          <w:lang w:val="en-US"/>
        </w:rPr>
        <w:t xml:space="preserve">According to the agreements from </w:t>
      </w:r>
      <w:r w:rsidR="00B256DC" w:rsidRPr="00AC152D">
        <w:rPr>
          <w:lang w:val="en-US"/>
        </w:rPr>
        <w:t>RAN2#121</w:t>
      </w:r>
      <w:r w:rsidR="001947DC" w:rsidRPr="00AC152D">
        <w:rPr>
          <w:lang w:val="en-US"/>
        </w:rPr>
        <w:t xml:space="preserve"> [1]</w:t>
      </w:r>
      <w:r w:rsidR="00B256DC" w:rsidRPr="00AC152D">
        <w:rPr>
          <w:lang w:val="en-US"/>
        </w:rPr>
        <w:t xml:space="preserve"> and </w:t>
      </w:r>
      <w:r w:rsidRPr="00AC152D">
        <w:rPr>
          <w:lang w:val="en-US"/>
        </w:rPr>
        <w:t>RAN2#121</w:t>
      </w:r>
      <w:r w:rsidR="00B256DC" w:rsidRPr="00AC152D">
        <w:rPr>
          <w:lang w:val="en-US"/>
        </w:rPr>
        <w:t>bis</w:t>
      </w:r>
      <w:r w:rsidRPr="00AC152D">
        <w:rPr>
          <w:lang w:val="en-US"/>
        </w:rPr>
        <w:t xml:space="preserve"> [</w:t>
      </w:r>
      <w:r w:rsidR="001947DC" w:rsidRPr="00AC152D">
        <w:rPr>
          <w:lang w:val="en-US"/>
        </w:rPr>
        <w:t>2</w:t>
      </w:r>
      <w:r w:rsidRPr="00AC152D">
        <w:rPr>
          <w:lang w:val="en-US"/>
        </w:rPr>
        <w:t>]:</w:t>
      </w:r>
    </w:p>
    <w:tbl>
      <w:tblPr>
        <w:tblStyle w:val="TableGrid"/>
        <w:tblW w:w="0" w:type="auto"/>
        <w:tblLook w:val="04A0" w:firstRow="1" w:lastRow="0" w:firstColumn="1" w:lastColumn="0" w:noHBand="0" w:noVBand="1"/>
      </w:tblPr>
      <w:tblGrid>
        <w:gridCol w:w="9631"/>
      </w:tblGrid>
      <w:tr w:rsidR="00CA5F51" w14:paraId="5614EC9D" w14:textId="77777777" w:rsidTr="00CA5F51">
        <w:tc>
          <w:tcPr>
            <w:tcW w:w="9631" w:type="dxa"/>
          </w:tcPr>
          <w:p w14:paraId="400FE7C6" w14:textId="2C8B57F5" w:rsidR="00B256DC" w:rsidRPr="00450498" w:rsidRDefault="00B256DC" w:rsidP="00B256DC">
            <w:pPr>
              <w:pStyle w:val="Agreement"/>
              <w:numPr>
                <w:ilvl w:val="0"/>
                <w:numId w:val="0"/>
              </w:numPr>
              <w:jc w:val="both"/>
              <w:rPr>
                <w:bCs/>
                <w:lang w:val="en-US"/>
              </w:rPr>
            </w:pPr>
            <w:r w:rsidRPr="00450498">
              <w:rPr>
                <w:bCs/>
                <w:lang w:val="en-US"/>
              </w:rPr>
              <w:t>RAN2#121</w:t>
            </w:r>
          </w:p>
          <w:p w14:paraId="1837B92E" w14:textId="2CC7D6EE" w:rsidR="00CA5F51" w:rsidRPr="00450498" w:rsidRDefault="00CA5F51" w:rsidP="00DD4FF4">
            <w:pPr>
              <w:pStyle w:val="Doc-text2"/>
              <w:jc w:val="both"/>
              <w:rPr>
                <w:lang w:val="en-US"/>
              </w:rPr>
            </w:pPr>
          </w:p>
          <w:p w14:paraId="07C2DD5A" w14:textId="77777777" w:rsidR="00CA5F51" w:rsidRPr="00450498" w:rsidRDefault="00CA5F51" w:rsidP="00DD4FF4">
            <w:pPr>
              <w:pStyle w:val="Agreement"/>
              <w:ind w:left="928"/>
              <w:jc w:val="both"/>
              <w:rPr>
                <w:lang w:val="en-US"/>
              </w:rPr>
            </w:pPr>
            <w:r w:rsidRPr="00450498">
              <w:rPr>
                <w:lang w:val="en-US"/>
              </w:rPr>
              <w:t>Reference config can be empty</w:t>
            </w:r>
          </w:p>
          <w:p w14:paraId="59B277E5" w14:textId="77777777" w:rsidR="00CA5F51" w:rsidRPr="00450498" w:rsidRDefault="00CA5F51" w:rsidP="00DD4FF4">
            <w:pPr>
              <w:pStyle w:val="Agreement"/>
              <w:ind w:left="928"/>
              <w:jc w:val="both"/>
              <w:rPr>
                <w:lang w:val="en-US"/>
              </w:rPr>
            </w:pPr>
            <w:r w:rsidRPr="00450498">
              <w:rPr>
                <w:lang w:val="en-US"/>
              </w:rPr>
              <w:t xml:space="preserve">In the RRC procedures, the candidate delta configuration is applied on top of the reference configuration to form a complete candidate configuration when the UE receives the LTM configuration (before the LTM cell switch). UE implementation can postpone that step to the reception of the LTM cell switch command. FFS Discuss early vs late compliance check. </w:t>
            </w:r>
          </w:p>
          <w:p w14:paraId="436B23B1" w14:textId="179B8161" w:rsidR="00CA5F51" w:rsidRPr="00450498" w:rsidRDefault="00CA5F51" w:rsidP="00DD4FF4">
            <w:pPr>
              <w:pStyle w:val="Agreement"/>
              <w:ind w:left="928"/>
              <w:jc w:val="both"/>
              <w:rPr>
                <w:lang w:val="en-US"/>
              </w:rPr>
            </w:pPr>
            <w:r w:rsidRPr="00450498">
              <w:rPr>
                <w:lang w:val="en-US"/>
              </w:rPr>
              <w:t>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 FFS whether we can rely on a modified version of the reconfiguration procedure with fullconfig flag set. FFS how to make sure the procedures work in case the LTM candidate configuration is a complete configuration.</w:t>
            </w:r>
          </w:p>
          <w:p w14:paraId="43BF1EF6" w14:textId="16138A1A" w:rsidR="00B256DC" w:rsidRPr="00A1067A" w:rsidRDefault="00B256DC" w:rsidP="00B256DC">
            <w:pPr>
              <w:pStyle w:val="Doc-text2"/>
              <w:rPr>
                <w:highlight w:val="yellow"/>
                <w:lang w:val="en-US"/>
              </w:rPr>
            </w:pPr>
          </w:p>
          <w:p w14:paraId="21B2A25F" w14:textId="6620C5ED" w:rsidR="00B256DC" w:rsidRPr="00503753" w:rsidRDefault="00B256DC" w:rsidP="00B256DC">
            <w:pPr>
              <w:pStyle w:val="Agreement"/>
              <w:numPr>
                <w:ilvl w:val="0"/>
                <w:numId w:val="0"/>
              </w:numPr>
              <w:jc w:val="both"/>
              <w:rPr>
                <w:bCs/>
                <w:lang w:val="en-US"/>
              </w:rPr>
            </w:pPr>
            <w:r w:rsidRPr="00503753">
              <w:rPr>
                <w:bCs/>
                <w:lang w:val="en-US"/>
              </w:rPr>
              <w:t>RAN2#121bis</w:t>
            </w:r>
          </w:p>
          <w:p w14:paraId="68999DBD" w14:textId="028D1766" w:rsidR="00B256DC" w:rsidRPr="00503753" w:rsidRDefault="00450498" w:rsidP="00B256DC">
            <w:pPr>
              <w:pStyle w:val="Agreement"/>
              <w:ind w:left="928"/>
              <w:jc w:val="both"/>
              <w:rPr>
                <w:lang w:val="en-US"/>
              </w:rPr>
            </w:pPr>
            <w:r w:rsidRPr="00503753">
              <w:rPr>
                <w:lang w:val="en-US"/>
              </w:rPr>
              <w:t>[…]</w:t>
            </w:r>
          </w:p>
          <w:p w14:paraId="68455C4F" w14:textId="77777777" w:rsidR="00B256DC" w:rsidRPr="00503753" w:rsidRDefault="00B256DC" w:rsidP="00B256DC">
            <w:pPr>
              <w:pStyle w:val="Agreement"/>
              <w:ind w:left="928"/>
              <w:jc w:val="both"/>
              <w:rPr>
                <w:lang w:val="en-US"/>
              </w:rPr>
            </w:pPr>
            <w:r w:rsidRPr="00503753">
              <w:rPr>
                <w:lang w:val="en-US"/>
              </w:rPr>
              <w:t xml:space="preserve">Whether the Reference configuration is a complete configuration or not is up to the network implementation. </w:t>
            </w:r>
          </w:p>
          <w:p w14:paraId="47F33E2E" w14:textId="77777777" w:rsidR="00B256DC" w:rsidRPr="00503753" w:rsidRDefault="00B256DC" w:rsidP="00B256DC">
            <w:pPr>
              <w:pStyle w:val="Agreement"/>
              <w:ind w:left="928"/>
              <w:jc w:val="both"/>
              <w:rPr>
                <w:lang w:val="en-US"/>
              </w:rPr>
            </w:pPr>
            <w:r w:rsidRPr="00503753">
              <w:rPr>
                <w:lang w:val="en-US"/>
              </w:rPr>
              <w:t xml:space="preserve">Reference configuration + LTM candidate configuration (in combination) has to be a complete configuration. </w:t>
            </w:r>
          </w:p>
          <w:p w14:paraId="59A551BC" w14:textId="77777777" w:rsidR="00B256DC" w:rsidRPr="00503753" w:rsidRDefault="00B256DC" w:rsidP="00B256DC">
            <w:pPr>
              <w:pStyle w:val="Agreement"/>
              <w:ind w:left="928"/>
              <w:jc w:val="both"/>
              <w:rPr>
                <w:lang w:val="en-US"/>
              </w:rPr>
            </w:pPr>
            <w:r w:rsidRPr="00503753">
              <w:rPr>
                <w:lang w:val="en-US"/>
              </w:rPr>
              <w:t>The reference configuration is always explicitly signalled (not automatically derived from any other config, e.g. current).</w:t>
            </w:r>
          </w:p>
          <w:p w14:paraId="363D9022" w14:textId="79C76191" w:rsidR="00B256DC" w:rsidRPr="00503753" w:rsidRDefault="00450498" w:rsidP="00B256DC">
            <w:pPr>
              <w:pStyle w:val="Agreement"/>
              <w:ind w:left="928"/>
              <w:jc w:val="both"/>
              <w:rPr>
                <w:lang w:val="en-US"/>
              </w:rPr>
            </w:pPr>
            <w:r w:rsidRPr="00503753">
              <w:rPr>
                <w:lang w:val="en-US"/>
              </w:rPr>
              <w:t>[…]</w:t>
            </w:r>
          </w:p>
          <w:p w14:paraId="0CA94DA8" w14:textId="00F322CD" w:rsidR="00CA5F51" w:rsidRPr="00A1067A" w:rsidRDefault="00B256DC" w:rsidP="00A1067A">
            <w:pPr>
              <w:pStyle w:val="Agreement"/>
              <w:ind w:left="928"/>
              <w:jc w:val="both"/>
              <w:rPr>
                <w:lang w:val="en-US"/>
              </w:rPr>
            </w:pPr>
            <w:r w:rsidRPr="00503753">
              <w:rPr>
                <w:lang w:val="en-US"/>
              </w:rPr>
              <w:t>The UE may perform early decoding and early validity check. FFS whether Early validity check triggers early re-establishment. FFS the possible timing, FFS subset of cells, FFS if need to specify anything or just up to UE impl, FFS if other signalling to notify network is needed.</w:t>
            </w:r>
            <w:r w:rsidRPr="00B256DC">
              <w:rPr>
                <w:lang w:val="en-US"/>
              </w:rPr>
              <w:t xml:space="preserve"> </w:t>
            </w:r>
          </w:p>
        </w:tc>
      </w:tr>
    </w:tbl>
    <w:p w14:paraId="01D4BE4D" w14:textId="62159D40" w:rsidR="00CA5F51" w:rsidRPr="00792568" w:rsidRDefault="00E62356" w:rsidP="00745EBB">
      <w:r>
        <w:rPr>
          <w:lang w:val="en-US"/>
        </w:rPr>
        <w:br/>
      </w:r>
      <w:r w:rsidR="00CA5F51" w:rsidRPr="00745EBB">
        <w:rPr>
          <w:lang w:val="en-US"/>
        </w:rPr>
        <w:t xml:space="preserve">This document discusses the aspects of the RRC Reconfiguration </w:t>
      </w:r>
      <w:r w:rsidR="003E3B56" w:rsidRPr="00745EBB">
        <w:rPr>
          <w:lang w:val="en-US"/>
        </w:rPr>
        <w:t>for LTM</w:t>
      </w:r>
      <w:r w:rsidR="0080400F" w:rsidRPr="00745EBB">
        <w:rPr>
          <w:lang w:val="en-US"/>
        </w:rPr>
        <w:t>, with a particular focus</w:t>
      </w:r>
      <w:r w:rsidR="00CA5F51" w:rsidRPr="00745EBB">
        <w:rPr>
          <w:lang w:val="en-US"/>
        </w:rPr>
        <w:t xml:space="preserve"> on how reference and delta configuration should be configured</w:t>
      </w:r>
      <w:r w:rsidR="008A1FE0" w:rsidRPr="00745EBB">
        <w:rPr>
          <w:lang w:val="en-US"/>
        </w:rPr>
        <w:t xml:space="preserve"> </w:t>
      </w:r>
      <w:r w:rsidR="007133E1" w:rsidRPr="00745EBB">
        <w:rPr>
          <w:lang w:val="en-US"/>
        </w:rPr>
        <w:t xml:space="preserve">and </w:t>
      </w:r>
      <w:r w:rsidR="00DF48FB">
        <w:rPr>
          <w:lang w:val="en-US"/>
        </w:rPr>
        <w:t>L</w:t>
      </w:r>
      <w:r w:rsidR="00640298">
        <w:rPr>
          <w:lang w:val="en-US"/>
        </w:rPr>
        <w:t>TM</w:t>
      </w:r>
      <w:r w:rsidR="00DF48FB">
        <w:rPr>
          <w:lang w:val="en-US"/>
        </w:rPr>
        <w:t xml:space="preserve"> </w:t>
      </w:r>
      <w:r w:rsidR="00FB6395">
        <w:rPr>
          <w:lang w:val="en-US"/>
        </w:rPr>
        <w:t xml:space="preserve">interworking </w:t>
      </w:r>
      <w:r w:rsidR="0042667A">
        <w:rPr>
          <w:lang w:val="en-US"/>
        </w:rPr>
        <w:t>with L3 mobility</w:t>
      </w:r>
      <w:r w:rsidR="00CA5F51" w:rsidRPr="00745EBB">
        <w:rPr>
          <w:lang w:val="en-US"/>
        </w:rPr>
        <w:t>.</w:t>
      </w:r>
      <w:r w:rsidR="00CA5F51" w:rsidRPr="00CA5F51">
        <w:rPr>
          <w:lang w:val="en-US"/>
        </w:rPr>
        <w:t xml:space="preserve"> </w:t>
      </w:r>
    </w:p>
    <w:p w14:paraId="7D484B6E" w14:textId="46DB1343" w:rsidR="009339CB" w:rsidRPr="006E13D1" w:rsidRDefault="009339CB" w:rsidP="009339CB">
      <w:pPr>
        <w:pStyle w:val="Heading1"/>
      </w:pPr>
      <w:r>
        <w:t>2</w:t>
      </w:r>
      <w:r>
        <w:tab/>
      </w:r>
      <w:r w:rsidR="00CA5F51">
        <w:t>Target Cell RRC Configuration Provision in LTM</w:t>
      </w:r>
    </w:p>
    <w:p w14:paraId="28D6E63A" w14:textId="28E52E31" w:rsidR="00C32DB4" w:rsidRDefault="009339CB" w:rsidP="00C32DB4">
      <w:pPr>
        <w:pStyle w:val="Heading2"/>
      </w:pPr>
      <w:r>
        <w:t>2</w:t>
      </w:r>
      <w:r w:rsidRPr="006E13D1">
        <w:t>.</w:t>
      </w:r>
      <w:r w:rsidR="00B256DC">
        <w:t>1</w:t>
      </w:r>
      <w:r w:rsidRPr="006E13D1">
        <w:tab/>
      </w:r>
      <w:r w:rsidR="00C32DB4">
        <w:t xml:space="preserve">RRC Reconfiguration Options Considering availability </w:t>
      </w:r>
      <w:r w:rsidR="00457505">
        <w:t xml:space="preserve">Of </w:t>
      </w:r>
      <w:r w:rsidR="00C32DB4">
        <w:t>Reference</w:t>
      </w:r>
    </w:p>
    <w:p w14:paraId="276F473E" w14:textId="3E846963" w:rsidR="00E551D7" w:rsidRDefault="00E551D7" w:rsidP="00E551D7">
      <w:pPr>
        <w:pStyle w:val="Heading3"/>
      </w:pPr>
      <w:r>
        <w:t>2.1.1 Reference Configuration</w:t>
      </w:r>
      <w:r w:rsidRPr="00921DD1">
        <w:t xml:space="preserve"> </w:t>
      </w:r>
      <w:r>
        <w:t>is empty</w:t>
      </w:r>
    </w:p>
    <w:p w14:paraId="2E20DA1A" w14:textId="1C02A6DC" w:rsidR="00FF32C1" w:rsidRDefault="005E4DE9" w:rsidP="005E4DE9">
      <w:pPr>
        <w:jc w:val="both"/>
      </w:pPr>
      <w:r>
        <w:t>When the</w:t>
      </w:r>
      <w:r w:rsidRPr="00A1067A">
        <w:t xml:space="preserve"> UE receives the cell switch command</w:t>
      </w:r>
      <w:r w:rsidR="00E543DC">
        <w:t>,</w:t>
      </w:r>
      <w:r w:rsidRPr="00A1067A">
        <w:t xml:space="preserve"> it applies </w:t>
      </w:r>
      <w:r w:rsidR="00FF32C1">
        <w:t xml:space="preserve">the target cell configuration on top of the </w:t>
      </w:r>
      <w:r w:rsidR="004A00CE">
        <w:t xml:space="preserve">current RRC configuration. If the </w:t>
      </w:r>
      <w:r w:rsidR="00D00CCE">
        <w:t xml:space="preserve">target cell configuration is delta, this could create problems at the time of cell switch in subsequent LTM since </w:t>
      </w:r>
      <w:r w:rsidR="00CE25EE">
        <w:t xml:space="preserve">the </w:t>
      </w:r>
      <w:r w:rsidR="00B77B7C">
        <w:t xml:space="preserve">target cell delta is built on top of the initial serving cell configuration and not on top of the current one. </w:t>
      </w:r>
      <w:r w:rsidR="007F0C1C">
        <w:t xml:space="preserve">In such case the </w:t>
      </w:r>
      <w:r w:rsidR="00F83420">
        <w:t xml:space="preserve">network would have to ensure that the delta configurations are able to be applied on top of </w:t>
      </w:r>
      <w:r w:rsidR="004D24C1">
        <w:t xml:space="preserve">each serving without any problems. </w:t>
      </w:r>
    </w:p>
    <w:p w14:paraId="65EFF258" w14:textId="3C94586E" w:rsidR="000D07F6" w:rsidRDefault="005E6E49" w:rsidP="00A647C8">
      <w:pPr>
        <w:jc w:val="both"/>
      </w:pPr>
      <w:r>
        <w:t xml:space="preserve">On the other hand, </w:t>
      </w:r>
      <w:r w:rsidR="00A647C8">
        <w:t xml:space="preserve">if a complete configuration is </w:t>
      </w:r>
      <w:r w:rsidR="00C37B5C">
        <w:t xml:space="preserve">provided to the UE at the time of LTM preparation for the target cells, the UE can simply apply that on top of the serving </w:t>
      </w:r>
      <w:r w:rsidR="006B17D4">
        <w:t>in case of subsequent LTM</w:t>
      </w:r>
      <w:r w:rsidR="000D07F6">
        <w:t xml:space="preserve">. Obviously, </w:t>
      </w:r>
      <w:r w:rsidR="00C54318">
        <w:t>the use of complete configuration in case of empty reference ensures smooth operation in dynamic switching (subsequent LTM).</w:t>
      </w:r>
    </w:p>
    <w:p w14:paraId="06D1EE70" w14:textId="59DDAD96" w:rsidR="00E551D7" w:rsidRDefault="00043360" w:rsidP="00E551D7">
      <w:pPr>
        <w:jc w:val="both"/>
        <w:rPr>
          <w:b/>
          <w:bCs/>
        </w:rPr>
      </w:pPr>
      <w:r w:rsidRPr="00657F14">
        <w:rPr>
          <w:b/>
          <w:bCs/>
        </w:rPr>
        <w:t>Observation</w:t>
      </w:r>
      <w:r w:rsidR="00657F14" w:rsidRPr="00657F14">
        <w:rPr>
          <w:b/>
          <w:bCs/>
        </w:rPr>
        <w:t xml:space="preserve"> 1</w:t>
      </w:r>
      <w:r w:rsidRPr="00657F14">
        <w:rPr>
          <w:b/>
          <w:bCs/>
        </w:rPr>
        <w:t xml:space="preserve">: </w:t>
      </w:r>
      <w:r w:rsidR="002171D3" w:rsidRPr="00657F14">
        <w:rPr>
          <w:b/>
          <w:bCs/>
        </w:rPr>
        <w:t xml:space="preserve">Use of </w:t>
      </w:r>
      <w:r w:rsidR="00F03D16" w:rsidRPr="00657F14">
        <w:rPr>
          <w:b/>
          <w:bCs/>
        </w:rPr>
        <w:t xml:space="preserve">Complete </w:t>
      </w:r>
      <w:r w:rsidR="0094342B" w:rsidRPr="00657F14">
        <w:rPr>
          <w:b/>
          <w:bCs/>
        </w:rPr>
        <w:t xml:space="preserve">Configuration in case of empty reference ensures smooth operation in </w:t>
      </w:r>
      <w:r w:rsidR="00657F14" w:rsidRPr="00657F14">
        <w:rPr>
          <w:b/>
          <w:bCs/>
        </w:rPr>
        <w:t>dynamic switching (subsequent LTM).</w:t>
      </w:r>
    </w:p>
    <w:p w14:paraId="0B4F7247" w14:textId="4606218A" w:rsidR="00921DD1" w:rsidRDefault="00921DD1" w:rsidP="00921DD1">
      <w:pPr>
        <w:pStyle w:val="Heading3"/>
      </w:pPr>
      <w:r>
        <w:t>2.</w:t>
      </w:r>
      <w:r w:rsidR="008B1AC6">
        <w:t>1</w:t>
      </w:r>
      <w:r>
        <w:t>.</w:t>
      </w:r>
      <w:r w:rsidR="00E551D7">
        <w:t>2</w:t>
      </w:r>
      <w:r>
        <w:t xml:space="preserve"> Reference Configuration is </w:t>
      </w:r>
      <w:r w:rsidR="006E4DCA">
        <w:t xml:space="preserve">a </w:t>
      </w:r>
      <w:r>
        <w:t xml:space="preserve">non-empty configuration </w:t>
      </w:r>
    </w:p>
    <w:p w14:paraId="76BCCEAE" w14:textId="275EA62E" w:rsidR="00C32DB4" w:rsidRPr="00A1067A" w:rsidRDefault="00C32DB4" w:rsidP="002F6666">
      <w:pPr>
        <w:jc w:val="both"/>
        <w:rPr>
          <w:lang w:val="en-US"/>
        </w:rPr>
      </w:pPr>
      <w:r w:rsidRPr="00A1067A">
        <w:t xml:space="preserve">At the time of the LTM preparation the source cell provides to the UE the Reference </w:t>
      </w:r>
      <w:r w:rsidR="005E28E9" w:rsidRPr="00A1067A">
        <w:t>c</w:t>
      </w:r>
      <w:r w:rsidRPr="00A1067A">
        <w:t xml:space="preserve">onfiguration and the </w:t>
      </w:r>
      <w:r w:rsidR="009874C8" w:rsidRPr="00A1067A">
        <w:t xml:space="preserve">target cell </w:t>
      </w:r>
      <w:r w:rsidRPr="00A1067A">
        <w:t xml:space="preserve">configurations </w:t>
      </w:r>
      <w:r w:rsidR="009874C8" w:rsidRPr="00A1067A">
        <w:t>(which can be delta or not)</w:t>
      </w:r>
      <w:r w:rsidRPr="00A1067A">
        <w:t xml:space="preserve"> of the prepared target cells. </w:t>
      </w:r>
    </w:p>
    <w:p w14:paraId="724F9AC9" w14:textId="68970983" w:rsidR="00D764AE" w:rsidRPr="00A1067A" w:rsidRDefault="00D764AE" w:rsidP="002C7F05">
      <w:pPr>
        <w:jc w:val="both"/>
      </w:pPr>
      <w:r w:rsidRPr="00A1067A">
        <w:rPr>
          <w:lang w:val="en-US"/>
        </w:rPr>
        <w:t xml:space="preserve">In case of a non-empty Reference configuration </w:t>
      </w:r>
      <w:r w:rsidR="00235D38">
        <w:rPr>
          <w:lang w:val="en-US"/>
        </w:rPr>
        <w:t xml:space="preserve">there are two options, (a) </w:t>
      </w:r>
      <w:r w:rsidR="002C7F05">
        <w:rPr>
          <w:lang w:val="en-US"/>
        </w:rPr>
        <w:t>t</w:t>
      </w:r>
      <w:r w:rsidRPr="00A1067A">
        <w:t xml:space="preserve">he </w:t>
      </w:r>
      <w:r w:rsidR="002C7F05">
        <w:t>r</w:t>
      </w:r>
      <w:r w:rsidR="002C7F05" w:rsidRPr="00A1067A">
        <w:t xml:space="preserve">eference </w:t>
      </w:r>
      <w:r w:rsidRPr="00A1067A">
        <w:t xml:space="preserve">configuration </w:t>
      </w:r>
      <w:r w:rsidR="00660F5A">
        <w:t xml:space="preserve">is </w:t>
      </w:r>
      <w:r w:rsidR="002C7F05">
        <w:t>a</w:t>
      </w:r>
      <w:r w:rsidR="002C7F05" w:rsidRPr="00A1067A">
        <w:t xml:space="preserve"> </w:t>
      </w:r>
      <w:r w:rsidRPr="00A1067A">
        <w:t xml:space="preserve">complete configuration, thus </w:t>
      </w:r>
      <w:r w:rsidR="002C7F05">
        <w:t>c</w:t>
      </w:r>
      <w:r w:rsidRPr="00A1067A">
        <w:t>ontain</w:t>
      </w:r>
      <w:r w:rsidR="002C7F05">
        <w:t>ing</w:t>
      </w:r>
      <w:r w:rsidRPr="00A1067A">
        <w:t xml:space="preserve"> all the </w:t>
      </w:r>
      <w:r w:rsidR="003F3B95" w:rsidRPr="00A1067A">
        <w:t>needed</w:t>
      </w:r>
      <w:r w:rsidRPr="00A1067A">
        <w:t xml:space="preserve"> </w:t>
      </w:r>
      <w:r w:rsidR="00783C1C" w:rsidRPr="00A1067A">
        <w:t>RRC IEs</w:t>
      </w:r>
      <w:r w:rsidR="003F3B95" w:rsidRPr="00A1067A">
        <w:t xml:space="preserve"> for cell switch</w:t>
      </w:r>
      <w:r w:rsidR="002C7F05">
        <w:t xml:space="preserve"> or </w:t>
      </w:r>
      <w:r w:rsidR="00FC6B5F">
        <w:t>(b) the reference is</w:t>
      </w:r>
      <w:r w:rsidR="002C7F05">
        <w:t xml:space="preserve"> a non-complete configuration, thus containing parts of </w:t>
      </w:r>
      <w:r w:rsidR="002C7F05" w:rsidRPr="00A1067A">
        <w:t>the needed RRC IEs for cell switch</w:t>
      </w:r>
      <w:r w:rsidRPr="00A1067A">
        <w:t>.</w:t>
      </w:r>
      <w:r w:rsidR="00783C1C" w:rsidRPr="00A1067A">
        <w:t xml:space="preserve"> </w:t>
      </w:r>
      <w:r w:rsidR="002C7F05">
        <w:t xml:space="preserve">The latter approach has the </w:t>
      </w:r>
      <w:r w:rsidR="00783C1C" w:rsidRPr="00A1067A">
        <w:t xml:space="preserve">benefit of the reduction of the </w:t>
      </w:r>
      <w:r w:rsidR="0097091F" w:rsidRPr="00A1067A">
        <w:t xml:space="preserve">size of the contained </w:t>
      </w:r>
      <w:r w:rsidR="00783C1C" w:rsidRPr="00A1067A">
        <w:rPr>
          <w:i/>
          <w:iCs/>
        </w:rPr>
        <w:t>RRCReconfiguration</w:t>
      </w:r>
      <w:r w:rsidR="00783C1C" w:rsidRPr="00A1067A">
        <w:t xml:space="preserve"> message.</w:t>
      </w:r>
    </w:p>
    <w:p w14:paraId="5D82B338" w14:textId="1ED59520" w:rsidR="00783C1C" w:rsidRDefault="00783C1C" w:rsidP="002F6666">
      <w:pPr>
        <w:jc w:val="both"/>
      </w:pPr>
      <w:r w:rsidRPr="00A1067A">
        <w:t xml:space="preserve">In any case the UE will have to apply the target cell (delta) configuration </w:t>
      </w:r>
      <w:r w:rsidR="00E41DA5">
        <w:t xml:space="preserve">on top of the reference </w:t>
      </w:r>
      <w:r w:rsidRPr="00A1067A">
        <w:t>in order to create a complete configuration for the Target cell</w:t>
      </w:r>
      <w:r w:rsidR="002C7F05">
        <w:t xml:space="preserve"> and as agreed it is up to the network implementation whether a complete or non-complete Reference will be provided to the UE.</w:t>
      </w:r>
    </w:p>
    <w:p w14:paraId="5C63E231" w14:textId="26AD7118" w:rsidR="002C7F05" w:rsidRDefault="002C7F05" w:rsidP="002F6666">
      <w:pPr>
        <w:jc w:val="both"/>
      </w:pPr>
      <w:r>
        <w:t xml:space="preserve">Compared to the case where Reference Configuration is empty, the non-empty reference has less signalling overhead and at the same time it builds on top of the delta configuration principles to ensure that the UE in case of subsequent LTM will always have the correct configuration for the target cell, which has been built at the time of the preparation of the target cell and is not subject to current UE RRC Configuration. </w:t>
      </w:r>
    </w:p>
    <w:p w14:paraId="127C82E0" w14:textId="672B02A8" w:rsidR="002C7F05" w:rsidRDefault="002C7F05" w:rsidP="002F6666">
      <w:pPr>
        <w:jc w:val="both"/>
        <w:rPr>
          <w:b/>
          <w:bCs/>
        </w:rPr>
      </w:pPr>
      <w:r w:rsidRPr="002C7F05">
        <w:rPr>
          <w:b/>
          <w:bCs/>
        </w:rPr>
        <w:t>Observation 2: Reference configuration plus delta configuration for the target cell can ensure that the UE will have the correct configuration for the target cell which has been built at the time of preparation</w:t>
      </w:r>
      <w:r>
        <w:rPr>
          <w:b/>
          <w:bCs/>
        </w:rPr>
        <w:t xml:space="preserve"> in case of subsequent LTM</w:t>
      </w:r>
      <w:r w:rsidRPr="002C7F05">
        <w:rPr>
          <w:b/>
          <w:bCs/>
        </w:rPr>
        <w:t xml:space="preserve">. </w:t>
      </w:r>
    </w:p>
    <w:p w14:paraId="339FEC86" w14:textId="30602A56" w:rsidR="001E1328" w:rsidRDefault="001E1328" w:rsidP="00485652">
      <w:pPr>
        <w:pStyle w:val="Heading2"/>
      </w:pPr>
      <w:r>
        <w:t xml:space="preserve">2.2 </w:t>
      </w:r>
      <w:r>
        <w:tab/>
        <w:t>Subsequent LTM</w:t>
      </w:r>
    </w:p>
    <w:p w14:paraId="4EF1DBA8" w14:textId="0722D308" w:rsidR="005E6981" w:rsidRDefault="005E6981" w:rsidP="005E6981">
      <w:pPr>
        <w:jc w:val="both"/>
      </w:pPr>
      <w:r w:rsidRPr="00872172">
        <w:t>According to the WID</w:t>
      </w:r>
      <w:r>
        <w:t xml:space="preserve"> we should:</w:t>
      </w:r>
    </w:p>
    <w:p w14:paraId="0F750CDF" w14:textId="77777777" w:rsidR="005E6981" w:rsidRPr="00872172" w:rsidRDefault="005E6981" w:rsidP="005E6981">
      <w:pPr>
        <w:numPr>
          <w:ilvl w:val="0"/>
          <w:numId w:val="30"/>
        </w:numPr>
        <w:overflowPunct w:val="0"/>
        <w:autoSpaceDE w:val="0"/>
        <w:autoSpaceDN w:val="0"/>
        <w:adjustRightInd w:val="0"/>
        <w:spacing w:after="0"/>
        <w:jc w:val="both"/>
        <w:textAlignment w:val="baseline"/>
        <w:rPr>
          <w:bCs/>
          <w:i/>
          <w:iCs/>
          <w:sz w:val="18"/>
          <w:szCs w:val="18"/>
          <w:lang w:val="en-US"/>
        </w:rPr>
      </w:pPr>
      <w:r w:rsidRPr="00872172">
        <w:rPr>
          <w:bCs/>
          <w:i/>
          <w:iCs/>
          <w:sz w:val="18"/>
          <w:szCs w:val="18"/>
          <w:lang w:val="en-US"/>
        </w:rPr>
        <w:t xml:space="preserve">To specify mechanism and procedures of </w:t>
      </w:r>
      <w:r w:rsidRPr="00872172">
        <w:rPr>
          <w:rFonts w:hint="eastAsia"/>
          <w:bCs/>
          <w:i/>
          <w:iCs/>
          <w:sz w:val="18"/>
          <w:szCs w:val="18"/>
          <w:lang w:val="en-US"/>
        </w:rPr>
        <w:t>L</w:t>
      </w:r>
      <w:r w:rsidRPr="00872172">
        <w:rPr>
          <w:bCs/>
          <w:i/>
          <w:iCs/>
          <w:sz w:val="18"/>
          <w:szCs w:val="18"/>
          <w:lang w:val="en-US"/>
        </w:rPr>
        <w:t>1/L2 based inter-cell mobility for mobility latency reduction:</w:t>
      </w:r>
    </w:p>
    <w:p w14:paraId="187B801C" w14:textId="77777777" w:rsidR="005E6981" w:rsidRPr="00872172" w:rsidRDefault="005E6981" w:rsidP="00872172">
      <w:pPr>
        <w:numPr>
          <w:ilvl w:val="0"/>
          <w:numId w:val="31"/>
        </w:numPr>
        <w:overflowPunct w:val="0"/>
        <w:autoSpaceDE w:val="0"/>
        <w:autoSpaceDN w:val="0"/>
        <w:adjustRightInd w:val="0"/>
        <w:spacing w:after="0"/>
        <w:jc w:val="both"/>
        <w:textAlignment w:val="baseline"/>
        <w:rPr>
          <w:bCs/>
          <w:i/>
          <w:iCs/>
          <w:sz w:val="18"/>
          <w:szCs w:val="18"/>
          <w:lang w:val="en-US"/>
        </w:rPr>
      </w:pPr>
      <w:r w:rsidRPr="00486089">
        <w:rPr>
          <w:i/>
          <w:sz w:val="18"/>
          <w:szCs w:val="18"/>
          <w:highlight w:val="yellow"/>
          <w:lang w:val="en-US"/>
        </w:rPr>
        <w:t>Configuration and maintenance for multiple candidate cells to allow fast application of configurations for candidate cells</w:t>
      </w:r>
      <w:r w:rsidRPr="00872172">
        <w:rPr>
          <w:bCs/>
          <w:i/>
          <w:iCs/>
          <w:sz w:val="18"/>
          <w:szCs w:val="18"/>
          <w:lang w:val="en-US"/>
        </w:rPr>
        <w:t xml:space="preserve"> [RAN2, RAN3]</w:t>
      </w:r>
    </w:p>
    <w:p w14:paraId="54EE7562" w14:textId="56255F3E" w:rsidR="005E6981" w:rsidRDefault="005E6981" w:rsidP="005E6981">
      <w:pPr>
        <w:numPr>
          <w:ilvl w:val="0"/>
          <w:numId w:val="31"/>
        </w:numPr>
        <w:overflowPunct w:val="0"/>
        <w:autoSpaceDE w:val="0"/>
        <w:autoSpaceDN w:val="0"/>
        <w:adjustRightInd w:val="0"/>
        <w:spacing w:after="0"/>
        <w:jc w:val="both"/>
        <w:textAlignment w:val="baseline"/>
        <w:rPr>
          <w:bCs/>
          <w:i/>
          <w:iCs/>
          <w:sz w:val="18"/>
          <w:szCs w:val="18"/>
          <w:lang w:val="en-US"/>
        </w:rPr>
      </w:pPr>
      <w:r w:rsidRPr="00486089">
        <w:rPr>
          <w:i/>
          <w:sz w:val="18"/>
          <w:szCs w:val="18"/>
          <w:highlight w:val="green"/>
          <w:lang w:val="en-US"/>
        </w:rPr>
        <w:t>Dynamic switch mechanism among candidate serving cells (including SpCell and SCell) for the potential applicable scenarios based on L1</w:t>
      </w:r>
      <w:r w:rsidRPr="00486089">
        <w:rPr>
          <w:rFonts w:hint="eastAsia"/>
          <w:i/>
          <w:sz w:val="18"/>
          <w:szCs w:val="18"/>
          <w:highlight w:val="green"/>
          <w:lang w:val="en-US"/>
        </w:rPr>
        <w:t>/</w:t>
      </w:r>
      <w:r w:rsidRPr="00486089">
        <w:rPr>
          <w:i/>
          <w:sz w:val="18"/>
          <w:szCs w:val="18"/>
          <w:highlight w:val="green"/>
          <w:lang w:val="en-US"/>
        </w:rPr>
        <w:t>L2 signalling</w:t>
      </w:r>
      <w:r w:rsidRPr="00872172">
        <w:rPr>
          <w:bCs/>
          <w:i/>
          <w:iCs/>
          <w:sz w:val="18"/>
          <w:szCs w:val="18"/>
          <w:lang w:val="en-US"/>
        </w:rPr>
        <w:t xml:space="preserve"> [RAN2, RAN1]</w:t>
      </w:r>
    </w:p>
    <w:p w14:paraId="72C3BFC9" w14:textId="12BAED06" w:rsidR="005E6981" w:rsidRPr="00872172" w:rsidRDefault="005E6981" w:rsidP="005E6981">
      <w:pPr>
        <w:numPr>
          <w:ilvl w:val="0"/>
          <w:numId w:val="31"/>
        </w:numPr>
        <w:overflowPunct w:val="0"/>
        <w:autoSpaceDE w:val="0"/>
        <w:autoSpaceDN w:val="0"/>
        <w:adjustRightInd w:val="0"/>
        <w:spacing w:after="0"/>
        <w:jc w:val="both"/>
        <w:textAlignment w:val="baseline"/>
        <w:rPr>
          <w:bCs/>
          <w:i/>
          <w:iCs/>
          <w:sz w:val="18"/>
          <w:szCs w:val="18"/>
          <w:lang w:val="en-US"/>
        </w:rPr>
      </w:pPr>
      <w:r>
        <w:rPr>
          <w:bCs/>
          <w:i/>
          <w:iCs/>
          <w:sz w:val="18"/>
          <w:szCs w:val="18"/>
          <w:lang w:val="en-US"/>
        </w:rPr>
        <w:t>[…]</w:t>
      </w:r>
    </w:p>
    <w:p w14:paraId="40120C77" w14:textId="2823AF6F" w:rsidR="005E6981" w:rsidRDefault="005E6981" w:rsidP="005E6981">
      <w:pPr>
        <w:jc w:val="both"/>
        <w:rPr>
          <w:lang w:val="en-US"/>
        </w:rPr>
      </w:pPr>
    </w:p>
    <w:p w14:paraId="7C0E0E43" w14:textId="57B57A59" w:rsidR="005E6981" w:rsidRDefault="005E6981" w:rsidP="00872172">
      <w:pPr>
        <w:jc w:val="both"/>
        <w:rPr>
          <w:lang w:val="en-US"/>
        </w:rPr>
      </w:pPr>
      <w:r>
        <w:rPr>
          <w:lang w:val="en-US"/>
        </w:rPr>
        <w:t xml:space="preserve">To our understanding the above description has two aspects, </w:t>
      </w:r>
      <w:r w:rsidRPr="00486089">
        <w:rPr>
          <w:highlight w:val="yellow"/>
          <w:lang w:val="en-US"/>
        </w:rPr>
        <w:t>one relevant to the single cell change using L1/2 Triggered Mobility</w:t>
      </w:r>
      <w:r>
        <w:rPr>
          <w:lang w:val="en-US"/>
        </w:rPr>
        <w:t xml:space="preserve"> and one </w:t>
      </w:r>
      <w:r w:rsidRPr="00486089">
        <w:rPr>
          <w:highlight w:val="green"/>
          <w:lang w:val="en-US"/>
        </w:rPr>
        <w:t>relevant to Dynamic Switching</w:t>
      </w:r>
      <w:r>
        <w:rPr>
          <w:lang w:val="en-US"/>
        </w:rPr>
        <w:t>, what has been lately referred to as Subsequent LTM. In single cell change LTM, the UE will release the configurations upon the cell change and the target of this approach is the interruption reduction during the cell change, whereas in the subsequent LTM</w:t>
      </w:r>
      <w:r w:rsidR="00676762">
        <w:rPr>
          <w:lang w:val="en-US"/>
        </w:rPr>
        <w:t>,</w:t>
      </w:r>
      <w:r>
        <w:rPr>
          <w:lang w:val="en-US"/>
        </w:rPr>
        <w:t xml:space="preserve"> the UE will maintain the target cell configurations for subsequent cell switches (without requiring new configurations provisions) with the cost of the resource reservation in the network side.</w:t>
      </w:r>
    </w:p>
    <w:p w14:paraId="4AB35733" w14:textId="5A1EB2F3" w:rsidR="00664BA2" w:rsidRDefault="00805D7C" w:rsidP="000F0482">
      <w:pPr>
        <w:jc w:val="both"/>
        <w:rPr>
          <w:lang w:val="en-US"/>
        </w:rPr>
      </w:pPr>
      <w:r>
        <w:rPr>
          <w:lang w:val="en-US"/>
        </w:rPr>
        <w:t>When comparing s</w:t>
      </w:r>
      <w:r w:rsidR="00E57409">
        <w:rPr>
          <w:lang w:val="en-US"/>
        </w:rPr>
        <w:t xml:space="preserve">ingle cell </w:t>
      </w:r>
      <w:r w:rsidR="0066463A">
        <w:rPr>
          <w:lang w:val="en-US"/>
        </w:rPr>
        <w:t>change using LTM</w:t>
      </w:r>
      <w:r>
        <w:rPr>
          <w:lang w:val="en-US"/>
        </w:rPr>
        <w:t xml:space="preserve"> to subsequent LTM</w:t>
      </w:r>
      <w:r w:rsidR="0066463A">
        <w:rPr>
          <w:lang w:val="en-US"/>
        </w:rPr>
        <w:t xml:space="preserve">, the </w:t>
      </w:r>
      <w:r w:rsidR="00042CB9">
        <w:rPr>
          <w:lang w:val="en-US"/>
        </w:rPr>
        <w:t xml:space="preserve">network has to do more </w:t>
      </w:r>
      <w:r w:rsidR="008F4A42">
        <w:rPr>
          <w:lang w:val="en-US"/>
        </w:rPr>
        <w:t xml:space="preserve">target cell preparations, since each cell change requires a cell </w:t>
      </w:r>
      <w:r w:rsidR="00B441DC">
        <w:rPr>
          <w:lang w:val="en-US"/>
        </w:rPr>
        <w:t xml:space="preserve">preparation. </w:t>
      </w:r>
      <w:r w:rsidR="009B385D">
        <w:rPr>
          <w:lang w:val="en-US"/>
        </w:rPr>
        <w:t>I</w:t>
      </w:r>
      <w:r w:rsidR="006C496C">
        <w:rPr>
          <w:lang w:val="en-US"/>
        </w:rPr>
        <w:t>n subsequent LTM, the network maintains the target cell configurations</w:t>
      </w:r>
      <w:r w:rsidR="00DD6FBC">
        <w:rPr>
          <w:lang w:val="en-US"/>
        </w:rPr>
        <w:t xml:space="preserve"> for future use, and it updates them when they become outdated or when the </w:t>
      </w:r>
      <w:r w:rsidR="0081366E">
        <w:rPr>
          <w:lang w:val="en-US"/>
        </w:rPr>
        <w:t>UE find new more suitable target cells</w:t>
      </w:r>
      <w:r w:rsidR="00DB7C55">
        <w:rPr>
          <w:lang w:val="en-US"/>
        </w:rPr>
        <w:t>, thus one preparation can be used multiple times</w:t>
      </w:r>
      <w:r w:rsidR="0081366E">
        <w:rPr>
          <w:lang w:val="en-US"/>
        </w:rPr>
        <w:t xml:space="preserve">. </w:t>
      </w:r>
      <w:r w:rsidR="000F0482">
        <w:rPr>
          <w:lang w:val="en-US"/>
        </w:rPr>
        <w:t xml:space="preserve">On the other hand, </w:t>
      </w:r>
      <w:r w:rsidR="00500387">
        <w:rPr>
          <w:lang w:val="en-US"/>
        </w:rPr>
        <w:t xml:space="preserve">subsequent LTM has the cost of increased </w:t>
      </w:r>
      <w:r w:rsidR="00D40F26">
        <w:rPr>
          <w:lang w:val="en-US"/>
        </w:rPr>
        <w:t xml:space="preserve">resource </w:t>
      </w:r>
      <w:r w:rsidR="00395346">
        <w:rPr>
          <w:lang w:val="en-US"/>
        </w:rPr>
        <w:t xml:space="preserve">reservation in the </w:t>
      </w:r>
      <w:r w:rsidR="00F00621">
        <w:rPr>
          <w:lang w:val="en-US"/>
        </w:rPr>
        <w:t>network side</w:t>
      </w:r>
      <w:r w:rsidR="00A801C1">
        <w:rPr>
          <w:lang w:val="en-US"/>
        </w:rPr>
        <w:t xml:space="preserve"> since the </w:t>
      </w:r>
      <w:r w:rsidR="002006A0">
        <w:rPr>
          <w:lang w:val="en-US"/>
        </w:rPr>
        <w:t xml:space="preserve">UE configuration is maintained for </w:t>
      </w:r>
      <w:r w:rsidR="00AA1F31">
        <w:rPr>
          <w:lang w:val="en-US"/>
        </w:rPr>
        <w:t xml:space="preserve">increased amount of time. </w:t>
      </w:r>
      <w:r w:rsidR="00E769B8">
        <w:rPr>
          <w:lang w:val="en-US"/>
        </w:rPr>
        <w:t>Simulation evaluations in the literature</w:t>
      </w:r>
      <w:r w:rsidR="00BE5EFA">
        <w:rPr>
          <w:lang w:val="en-US"/>
        </w:rPr>
        <w:t xml:space="preserve"> (</w:t>
      </w:r>
      <w:r w:rsidR="006B370A">
        <w:rPr>
          <w:lang w:val="en-US"/>
        </w:rPr>
        <w:t>[</w:t>
      </w:r>
      <w:r w:rsidR="008E4F67">
        <w:rPr>
          <w:lang w:val="en-US"/>
        </w:rPr>
        <w:t>3</w:t>
      </w:r>
      <w:r w:rsidR="006B370A">
        <w:rPr>
          <w:lang w:val="en-US"/>
        </w:rPr>
        <w:t>]</w:t>
      </w:r>
      <w:r w:rsidR="00BE5EFA">
        <w:rPr>
          <w:lang w:val="en-US"/>
        </w:rPr>
        <w:t>)</w:t>
      </w:r>
      <w:r w:rsidR="00E769B8">
        <w:rPr>
          <w:lang w:val="en-US"/>
        </w:rPr>
        <w:t xml:space="preserve"> </w:t>
      </w:r>
      <w:r w:rsidR="008A2FF7">
        <w:rPr>
          <w:lang w:val="en-US"/>
        </w:rPr>
        <w:t xml:space="preserve">highlight the </w:t>
      </w:r>
      <w:r w:rsidR="00BC5E27">
        <w:rPr>
          <w:lang w:val="en-US"/>
        </w:rPr>
        <w:t xml:space="preserve">increased </w:t>
      </w:r>
      <w:r w:rsidR="00A54D08">
        <w:rPr>
          <w:lang w:val="en-US"/>
        </w:rPr>
        <w:t xml:space="preserve">number of </w:t>
      </w:r>
      <w:r w:rsidR="00B56501">
        <w:rPr>
          <w:lang w:val="en-US"/>
        </w:rPr>
        <w:t>preparations</w:t>
      </w:r>
      <w:r w:rsidR="00A54D08">
        <w:rPr>
          <w:lang w:val="en-US"/>
        </w:rPr>
        <w:t xml:space="preserve"> in case of </w:t>
      </w:r>
      <w:r w:rsidR="00B56501">
        <w:rPr>
          <w:lang w:val="en-US"/>
        </w:rPr>
        <w:t xml:space="preserve">since cell change LTM compared to subsequent LTM, as well as the </w:t>
      </w:r>
      <w:r w:rsidR="00F40FAC">
        <w:rPr>
          <w:lang w:val="en-US"/>
        </w:rPr>
        <w:t xml:space="preserve">high resource reservation cost in case of </w:t>
      </w:r>
      <w:r w:rsidR="00024C4E">
        <w:rPr>
          <w:lang w:val="en-US"/>
        </w:rPr>
        <w:t xml:space="preserve">Subsequent LTM. </w:t>
      </w:r>
    </w:p>
    <w:p w14:paraId="382D9112" w14:textId="21EDE61F" w:rsidR="00314B11" w:rsidRDefault="00314B11" w:rsidP="00872172">
      <w:pPr>
        <w:jc w:val="both"/>
        <w:rPr>
          <w:b/>
          <w:bCs/>
        </w:rPr>
      </w:pPr>
      <w:r w:rsidRPr="7F492FD5">
        <w:rPr>
          <w:b/>
          <w:bCs/>
        </w:rPr>
        <w:t xml:space="preserve">Observation </w:t>
      </w:r>
      <w:r w:rsidR="00DB56CE">
        <w:rPr>
          <w:b/>
          <w:bCs/>
        </w:rPr>
        <w:t>3</w:t>
      </w:r>
      <w:r w:rsidRPr="7F492FD5">
        <w:rPr>
          <w:b/>
          <w:bCs/>
        </w:rPr>
        <w:t>: In single cell change LTM</w:t>
      </w:r>
      <w:r w:rsidR="00676762" w:rsidRPr="7F492FD5">
        <w:rPr>
          <w:b/>
          <w:bCs/>
        </w:rPr>
        <w:t>,</w:t>
      </w:r>
      <w:r w:rsidRPr="7F492FD5">
        <w:rPr>
          <w:b/>
          <w:bCs/>
        </w:rPr>
        <w:t xml:space="preserve"> the target of this approach is the interruption reduction during the cell change</w:t>
      </w:r>
      <w:r w:rsidR="00C8435D" w:rsidRPr="7F492FD5">
        <w:rPr>
          <w:b/>
          <w:bCs/>
        </w:rPr>
        <w:t xml:space="preserve"> which is achieved with the skipping of certain procedures (e.g., RACH for RACH-less cell change)</w:t>
      </w:r>
      <w:r w:rsidRPr="7F492FD5">
        <w:rPr>
          <w:b/>
          <w:bCs/>
        </w:rPr>
        <w:t xml:space="preserve">, whereas in the subsequent LTM the </w:t>
      </w:r>
      <w:r w:rsidR="00C8435D" w:rsidRPr="7F492FD5">
        <w:rPr>
          <w:b/>
          <w:bCs/>
        </w:rPr>
        <w:t xml:space="preserve">target is to </w:t>
      </w:r>
      <w:r w:rsidRPr="7F492FD5">
        <w:rPr>
          <w:b/>
          <w:bCs/>
        </w:rPr>
        <w:t>maintain the target cell configurations for subsequent cell switches (without requiring new configurations provisions).</w:t>
      </w:r>
    </w:p>
    <w:p w14:paraId="1EA1A3F4" w14:textId="3EA2089B" w:rsidR="00C8435D" w:rsidRPr="00C8435D" w:rsidRDefault="00C8435D" w:rsidP="00872172">
      <w:pPr>
        <w:jc w:val="both"/>
        <w:rPr>
          <w:b/>
          <w:bCs/>
        </w:rPr>
      </w:pPr>
      <w:r w:rsidRPr="7F492FD5">
        <w:rPr>
          <w:b/>
          <w:bCs/>
        </w:rPr>
        <w:t xml:space="preserve">Observation </w:t>
      </w:r>
      <w:r w:rsidR="00DB56CE">
        <w:rPr>
          <w:b/>
          <w:bCs/>
        </w:rPr>
        <w:t>4</w:t>
      </w:r>
      <w:r w:rsidRPr="7F492FD5">
        <w:rPr>
          <w:b/>
          <w:bCs/>
        </w:rPr>
        <w:t>: Subsequent LTM has higher cost in terms of resource reservation in the network side compared to single cell change LTM.</w:t>
      </w:r>
    </w:p>
    <w:p w14:paraId="4A376F97" w14:textId="6930F7E0" w:rsidR="005E6981" w:rsidRPr="00872172" w:rsidRDefault="005E6981" w:rsidP="005E6981">
      <w:pPr>
        <w:jc w:val="both"/>
        <w:rPr>
          <w:b/>
          <w:bCs/>
        </w:rPr>
      </w:pPr>
      <w:r w:rsidRPr="7F492FD5">
        <w:rPr>
          <w:b/>
          <w:bCs/>
        </w:rPr>
        <w:t xml:space="preserve">Proposal </w:t>
      </w:r>
      <w:r w:rsidR="009A7059">
        <w:rPr>
          <w:b/>
          <w:bCs/>
        </w:rPr>
        <w:t>1</w:t>
      </w:r>
      <w:r w:rsidRPr="7F492FD5">
        <w:rPr>
          <w:b/>
          <w:bCs/>
        </w:rPr>
        <w:t>:</w:t>
      </w:r>
      <w:r w:rsidR="00C327E8" w:rsidRPr="7F492FD5">
        <w:rPr>
          <w:b/>
          <w:bCs/>
        </w:rPr>
        <w:t xml:space="preserve"> Both options of single cell change LTM and subsequent LTM are supported by RAN2</w:t>
      </w:r>
      <w:r w:rsidR="00C8435D" w:rsidRPr="7F492FD5">
        <w:rPr>
          <w:b/>
          <w:bCs/>
        </w:rPr>
        <w:t xml:space="preserve"> since they have different objectives</w:t>
      </w:r>
      <w:r w:rsidR="00C327E8" w:rsidRPr="7F492FD5">
        <w:rPr>
          <w:b/>
          <w:bCs/>
        </w:rPr>
        <w:t>.</w:t>
      </w:r>
    </w:p>
    <w:p w14:paraId="7E760D80" w14:textId="20CB520E" w:rsidR="00C327E8" w:rsidRDefault="00C327E8" w:rsidP="005E6981">
      <w:pPr>
        <w:jc w:val="both"/>
      </w:pPr>
      <w:r>
        <w:t xml:space="preserve">In case of subsequent LTM, the network needs to ask the UE to release the target cell configurations; this can be done with an RRC Reconfiguration message that explicitly asks the UE to release the target cell LTM configurations. However, this would </w:t>
      </w:r>
      <w:r w:rsidR="00DC6584">
        <w:t xml:space="preserve">not be efficient as </w:t>
      </w:r>
      <w:r>
        <w:t>it</w:t>
      </w:r>
      <w:r w:rsidDel="001B0B4E">
        <w:t xml:space="preserve"> </w:t>
      </w:r>
      <w:r>
        <w:t>require</w:t>
      </w:r>
      <w:r w:rsidR="001B0B4E">
        <w:t>s</w:t>
      </w:r>
      <w:r>
        <w:t xml:space="preserve"> the network to send an RRC Reconfiguration to ask the UE to release the target cells. However, other approaches could be more efficient since the network can estimate the likelihood of a subsequent LTM (or of a ping pong) over time. Thus, the network could configure the UE to release the prepared cells after a specific time after the configuration or the cell change, without requiring an RRC Reconfiguration. </w:t>
      </w:r>
    </w:p>
    <w:p w14:paraId="3A3BE43D" w14:textId="64B57FB0" w:rsidR="00C327E8" w:rsidRDefault="00C327E8" w:rsidP="00872172">
      <w:pPr>
        <w:jc w:val="both"/>
        <w:rPr>
          <w:b/>
          <w:bCs/>
        </w:rPr>
      </w:pPr>
      <w:r w:rsidRPr="00872172">
        <w:rPr>
          <w:b/>
          <w:bCs/>
        </w:rPr>
        <w:t xml:space="preserve">Proposal </w:t>
      </w:r>
      <w:r w:rsidR="009A7059">
        <w:rPr>
          <w:b/>
          <w:bCs/>
        </w:rPr>
        <w:t>2</w:t>
      </w:r>
      <w:r w:rsidRPr="00872172">
        <w:rPr>
          <w:b/>
          <w:bCs/>
        </w:rPr>
        <w:t xml:space="preserve">: </w:t>
      </w:r>
      <w:r w:rsidR="006A0884" w:rsidRPr="006A0884">
        <w:rPr>
          <w:b/>
          <w:bCs/>
        </w:rPr>
        <w:t xml:space="preserve">In case of subsequent LTM, cell configurations for LTM </w:t>
      </w:r>
      <w:r w:rsidR="006A0884">
        <w:rPr>
          <w:b/>
          <w:bCs/>
        </w:rPr>
        <w:t>can be</w:t>
      </w:r>
      <w:r w:rsidR="006A0884" w:rsidRPr="006A0884">
        <w:rPr>
          <w:b/>
          <w:bCs/>
        </w:rPr>
        <w:t xml:space="preserve"> maintained by the UE for a specific amount of time upon the reception of RRC Reconfiguration</w:t>
      </w:r>
      <w:r w:rsidR="003D3C63">
        <w:rPr>
          <w:b/>
          <w:bCs/>
        </w:rPr>
        <w:t xml:space="preserve"> or the </w:t>
      </w:r>
      <w:r w:rsidR="00266986">
        <w:rPr>
          <w:b/>
          <w:bCs/>
        </w:rPr>
        <w:t>cell change</w:t>
      </w:r>
      <w:r>
        <w:rPr>
          <w:b/>
          <w:bCs/>
        </w:rPr>
        <w:t>.</w:t>
      </w:r>
    </w:p>
    <w:p w14:paraId="7CDCC6BF" w14:textId="5816DA14" w:rsidR="000E4040" w:rsidRPr="000E4040" w:rsidRDefault="000E4040" w:rsidP="000E4040">
      <w:pPr>
        <w:pStyle w:val="Heading2"/>
      </w:pPr>
      <w:r w:rsidRPr="000E4040">
        <w:t>2.</w:t>
      </w:r>
      <w:r w:rsidR="00D44728">
        <w:t>3</w:t>
      </w:r>
      <w:r>
        <w:tab/>
        <w:t>LTM and L3 mobility interworking</w:t>
      </w:r>
    </w:p>
    <w:p w14:paraId="142DCDC2" w14:textId="42E5C8B7" w:rsidR="005667E2" w:rsidRDefault="005667E2" w:rsidP="00872172">
      <w:pPr>
        <w:jc w:val="both"/>
      </w:pPr>
      <w:r>
        <w:t>When attached to a cell</w:t>
      </w:r>
      <w:r w:rsidR="007D1825">
        <w:t>,</w:t>
      </w:r>
      <w:r>
        <w:t xml:space="preserve"> the UE </w:t>
      </w:r>
      <w:r w:rsidR="007D1825">
        <w:t>may be</w:t>
      </w:r>
      <w:r>
        <w:t xml:space="preserve"> configured to provide L3 measurements to the </w:t>
      </w:r>
      <w:r w:rsidR="007D1825">
        <w:t xml:space="preserve">serving </w:t>
      </w:r>
      <w:r>
        <w:t xml:space="preserve">gNB. </w:t>
      </w:r>
      <w:r w:rsidR="000D0979">
        <w:t>Based on L3 measurement, the serving/source gNB</w:t>
      </w:r>
      <w:r w:rsidDel="000D0979">
        <w:t xml:space="preserve"> </w:t>
      </w:r>
      <w:r w:rsidR="000D0979">
        <w:t>can take</w:t>
      </w:r>
      <w:r>
        <w:t xml:space="preserve"> the decision (and </w:t>
      </w:r>
      <w:r w:rsidR="00712B5B">
        <w:t xml:space="preserve"> send </w:t>
      </w:r>
      <w:r>
        <w:t xml:space="preserve">the Handover Request) to start </w:t>
      </w:r>
      <w:r w:rsidR="00712B5B">
        <w:t xml:space="preserve">L3 </w:t>
      </w:r>
      <w:r>
        <w:t>mobility to a target gNB</w:t>
      </w:r>
      <w:r w:rsidR="00712B5B">
        <w:t xml:space="preserve">. While preparing for L3 mobility, </w:t>
      </w:r>
      <w:r>
        <w:t xml:space="preserve">it is </w:t>
      </w:r>
      <w:r w:rsidR="00712B5B">
        <w:t>also</w:t>
      </w:r>
      <w:r>
        <w:t xml:space="preserve"> possible that the target gNB prepare</w:t>
      </w:r>
      <w:r w:rsidR="00712B5B">
        <w:t>s for</w:t>
      </w:r>
      <w:r>
        <w:t xml:space="preserve"> LTM </w:t>
      </w:r>
      <w:r w:rsidR="00712B5B">
        <w:t>as well and provide the LTM configuration as part of L3 handover configuration (e.g. baseline handover or CHO configuration)</w:t>
      </w:r>
      <w:r>
        <w:t xml:space="preserve">. </w:t>
      </w:r>
    </w:p>
    <w:p w14:paraId="4AB3C83D" w14:textId="21F06685" w:rsidR="005667E2" w:rsidRPr="005667E2" w:rsidRDefault="005667E2" w:rsidP="00872172">
      <w:pPr>
        <w:jc w:val="both"/>
        <w:rPr>
          <w:b/>
          <w:bCs/>
        </w:rPr>
      </w:pPr>
      <w:r w:rsidRPr="005667E2">
        <w:rPr>
          <w:b/>
          <w:bCs/>
        </w:rPr>
        <w:t xml:space="preserve">Observation </w:t>
      </w:r>
      <w:r w:rsidR="00DB56CE">
        <w:rPr>
          <w:b/>
          <w:bCs/>
        </w:rPr>
        <w:t>5</w:t>
      </w:r>
      <w:r w:rsidRPr="005667E2">
        <w:rPr>
          <w:b/>
          <w:bCs/>
        </w:rPr>
        <w:t>:</w:t>
      </w:r>
      <w:r>
        <w:rPr>
          <w:b/>
          <w:bCs/>
        </w:rPr>
        <w:t xml:space="preserve"> Nothing prevents a target gNB to provide LTM configuration as part of the target cell configuration in case of L3 (</w:t>
      </w:r>
      <w:r w:rsidRPr="005667E2">
        <w:rPr>
          <w:b/>
          <w:bCs/>
        </w:rPr>
        <w:t>Baseline HO or Conditional HO</w:t>
      </w:r>
      <w:r>
        <w:rPr>
          <w:b/>
          <w:bCs/>
        </w:rPr>
        <w:t>) mobility.</w:t>
      </w:r>
    </w:p>
    <w:p w14:paraId="65E0A85D" w14:textId="55CED5DB" w:rsidR="000E4040" w:rsidRDefault="005667E2" w:rsidP="00872172">
      <w:pPr>
        <w:jc w:val="both"/>
      </w:pPr>
      <w:r>
        <w:t>In this case</w:t>
      </w:r>
      <w:r w:rsidR="00712B5B">
        <w:t>,</w:t>
      </w:r>
      <w:r>
        <w:t xml:space="preserve"> the UE upon the performance of the L3 mobility to the target cell, it will directly apply the target cell configuration for that cell, which will include the LTM configuration for multiple </w:t>
      </w:r>
      <w:r w:rsidR="00712B5B">
        <w:t>other</w:t>
      </w:r>
      <w:r>
        <w:t xml:space="preserve"> cells. </w:t>
      </w:r>
      <w:r w:rsidR="00712B5B">
        <w:t>This</w:t>
      </w:r>
      <w:r>
        <w:t xml:space="preserve"> scenario is captured in the figure </w:t>
      </w:r>
      <w:r w:rsidR="000040C4">
        <w:t xml:space="preserve">X </w:t>
      </w:r>
      <w:r>
        <w:t>below.</w:t>
      </w:r>
      <w:r w:rsidR="000040C4">
        <w:t xml:space="preserve"> </w:t>
      </w:r>
    </w:p>
    <w:p w14:paraId="18E6EF59" w14:textId="1E99BF28" w:rsidR="00784811" w:rsidRDefault="000A75DE" w:rsidP="00E0751D">
      <w:pPr>
        <w:keepNext/>
        <w:jc w:val="center"/>
      </w:pPr>
      <w:r>
        <w:rPr>
          <w:noProof/>
        </w:rPr>
        <w:drawing>
          <wp:inline distT="0" distB="0" distL="0" distR="0" wp14:anchorId="2F4955BA" wp14:editId="5A3FEF8C">
            <wp:extent cx="6140319" cy="3116457"/>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64847" cy="3128906"/>
                    </a:xfrm>
                    <a:prstGeom prst="rect">
                      <a:avLst/>
                    </a:prstGeom>
                    <a:noFill/>
                  </pic:spPr>
                </pic:pic>
              </a:graphicData>
            </a:graphic>
          </wp:inline>
        </w:drawing>
      </w:r>
    </w:p>
    <w:p w14:paraId="1CCA71E8" w14:textId="3DC394AD" w:rsidR="005667E2" w:rsidRDefault="00784811" w:rsidP="00F82BFE">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rsidR="000A75DE">
        <w:t xml:space="preserve">: </w:t>
      </w:r>
      <w:r w:rsidR="0034662E">
        <w:t>LTM and L3 mobility interworking scenario</w:t>
      </w:r>
    </w:p>
    <w:p w14:paraId="694357AF" w14:textId="56B7B127" w:rsidR="005667E2" w:rsidRDefault="00712B5B" w:rsidP="00872172">
      <w:pPr>
        <w:jc w:val="both"/>
      </w:pPr>
      <w:r>
        <w:t>As illustrated in Figure</w:t>
      </w:r>
      <w:r w:rsidR="00B2673B">
        <w:t>:</w:t>
      </w:r>
    </w:p>
    <w:p w14:paraId="240B443B" w14:textId="6013FF9B" w:rsidR="00B2673B" w:rsidRDefault="00B2673B" w:rsidP="00B2673B">
      <w:pPr>
        <w:pStyle w:val="ListParagraph"/>
        <w:numPr>
          <w:ilvl w:val="0"/>
          <w:numId w:val="33"/>
        </w:numPr>
        <w:jc w:val="both"/>
      </w:pPr>
      <w:r>
        <w:t>Point 1: UE is configured with L3 mobility Baseline HO or CHO</w:t>
      </w:r>
      <w:r w:rsidR="00712B5B">
        <w:t>.</w:t>
      </w:r>
    </w:p>
    <w:p w14:paraId="12B7EAB9" w14:textId="7A41C05C" w:rsidR="00B2673B" w:rsidRDefault="00B2673B" w:rsidP="00B2673B">
      <w:pPr>
        <w:pStyle w:val="ListParagraph"/>
        <w:numPr>
          <w:ilvl w:val="0"/>
          <w:numId w:val="33"/>
        </w:numPr>
        <w:jc w:val="both"/>
      </w:pPr>
      <w:r>
        <w:t>Point 2: the UE applies the target cell configuration. In case of baseline HO</w:t>
      </w:r>
      <w:r w:rsidR="00712B5B">
        <w:t>,</w:t>
      </w:r>
      <w:r>
        <w:t xml:space="preserve"> points 1 and 2 can be the same. In case of CHO the UE will evaluate the target cell configuration(s) and apply it</w:t>
      </w:r>
      <w:r w:rsidR="00712B5B">
        <w:t>.</w:t>
      </w:r>
    </w:p>
    <w:p w14:paraId="0B9F463C" w14:textId="1E3283F2" w:rsidR="00B2673B" w:rsidRDefault="00B2673B" w:rsidP="00B2673B">
      <w:pPr>
        <w:pStyle w:val="ListParagraph"/>
        <w:numPr>
          <w:ilvl w:val="0"/>
          <w:numId w:val="33"/>
        </w:numPr>
        <w:jc w:val="both"/>
      </w:pPr>
      <w:r>
        <w:t>Point 3: the UE is triggered by the network to switch to cell 1.2. The UE is not needed to be again configured with cell 1.2 LTM configuration, since this is already provided to the UE at point 1.</w:t>
      </w:r>
    </w:p>
    <w:p w14:paraId="12FCA35F" w14:textId="0DFC9FA7" w:rsidR="00B2673B" w:rsidRPr="007A40E9" w:rsidRDefault="00B2673B" w:rsidP="007A40E9">
      <w:pPr>
        <w:jc w:val="both"/>
        <w:rPr>
          <w:b/>
          <w:bCs/>
        </w:rPr>
      </w:pPr>
      <w:r w:rsidRPr="007A40E9">
        <w:rPr>
          <w:b/>
          <w:bCs/>
        </w:rPr>
        <w:t xml:space="preserve">Proposal </w:t>
      </w:r>
      <w:r w:rsidR="009A7059">
        <w:rPr>
          <w:b/>
          <w:bCs/>
        </w:rPr>
        <w:t>3</w:t>
      </w:r>
      <w:r w:rsidRPr="007A40E9">
        <w:rPr>
          <w:b/>
          <w:bCs/>
        </w:rPr>
        <w:t xml:space="preserve">: </w:t>
      </w:r>
      <w:r>
        <w:rPr>
          <w:b/>
          <w:bCs/>
        </w:rPr>
        <w:t xml:space="preserve">The target gNB can provide LTM configuration as part of the L3 </w:t>
      </w:r>
      <w:r w:rsidR="00F248F3">
        <w:rPr>
          <w:b/>
          <w:bCs/>
        </w:rPr>
        <w:t>mobility configuration.</w:t>
      </w:r>
    </w:p>
    <w:p w14:paraId="69B7B8E6" w14:textId="69E07FC9" w:rsidR="009339CB" w:rsidRPr="001A3CA3" w:rsidRDefault="005A13AB" w:rsidP="009339CB">
      <w:pPr>
        <w:pStyle w:val="Heading1"/>
        <w:rPr>
          <w:color w:val="000000" w:themeColor="text1"/>
        </w:rPr>
      </w:pPr>
      <w:r w:rsidRPr="001A3CA3">
        <w:rPr>
          <w:color w:val="000000" w:themeColor="text1"/>
        </w:rPr>
        <w:t>3</w:t>
      </w:r>
      <w:r w:rsidR="009339CB" w:rsidRPr="001A3CA3">
        <w:rPr>
          <w:color w:val="000000" w:themeColor="text1"/>
        </w:rPr>
        <w:tab/>
        <w:t>Conclusion</w:t>
      </w:r>
    </w:p>
    <w:p w14:paraId="6E24B0F4" w14:textId="7CE0C7DC" w:rsidR="009339CB" w:rsidRPr="00BD1436" w:rsidRDefault="009339CB" w:rsidP="00B84155">
      <w:pPr>
        <w:jc w:val="both"/>
        <w:rPr>
          <w:bCs/>
          <w:color w:val="000000" w:themeColor="text1"/>
        </w:rPr>
      </w:pPr>
      <w:r w:rsidRPr="00BD1436">
        <w:rPr>
          <w:bCs/>
          <w:color w:val="000000" w:themeColor="text1"/>
        </w:rPr>
        <w:t>This document has made the following observations:</w:t>
      </w:r>
    </w:p>
    <w:p w14:paraId="153A89D4" w14:textId="77777777" w:rsidR="009A7059" w:rsidRPr="009A7059" w:rsidRDefault="009A7059" w:rsidP="009A7059">
      <w:pPr>
        <w:jc w:val="both"/>
        <w:rPr>
          <w:b/>
          <w:bCs/>
          <w:color w:val="000000" w:themeColor="text1"/>
        </w:rPr>
      </w:pPr>
      <w:r w:rsidRPr="009A7059">
        <w:rPr>
          <w:b/>
          <w:bCs/>
          <w:color w:val="000000" w:themeColor="text1"/>
        </w:rPr>
        <w:t>Observation 1: Use of Complete Configuration in case of empty reference ensures smooth operation in dynamic switching (subsequent LTM).</w:t>
      </w:r>
    </w:p>
    <w:p w14:paraId="01C6510D" w14:textId="77777777" w:rsidR="009A7059" w:rsidRPr="009A7059" w:rsidRDefault="009A7059" w:rsidP="009A7059">
      <w:pPr>
        <w:jc w:val="both"/>
        <w:rPr>
          <w:b/>
          <w:bCs/>
          <w:color w:val="000000" w:themeColor="text1"/>
        </w:rPr>
      </w:pPr>
      <w:r w:rsidRPr="009A7059">
        <w:rPr>
          <w:b/>
          <w:bCs/>
          <w:color w:val="000000" w:themeColor="text1"/>
        </w:rPr>
        <w:t xml:space="preserve">Observation 2: Reference configuration plus delta configuration for the target cell can ensure that the UE will have the correct configuration for the target cell which has been built at the time of preparation in case of subsequent LTM. </w:t>
      </w:r>
    </w:p>
    <w:p w14:paraId="30201AB1" w14:textId="77777777" w:rsidR="009A7059" w:rsidRPr="009A7059" w:rsidRDefault="009A7059" w:rsidP="009A7059">
      <w:pPr>
        <w:jc w:val="both"/>
        <w:rPr>
          <w:b/>
          <w:bCs/>
          <w:color w:val="000000" w:themeColor="text1"/>
        </w:rPr>
      </w:pPr>
      <w:r w:rsidRPr="009A7059">
        <w:rPr>
          <w:b/>
          <w:bCs/>
          <w:color w:val="000000" w:themeColor="text1"/>
        </w:rPr>
        <w:t>Observation 3: In single cell change LTM, the target of this approach is the interruption reduction during the cell change which is achieved with the skipping of certain procedures (e.g., RACH for RACH-less cell change), whereas in the subsequent LTM the target is to maintain the target cell configurations for subsequent cell switches (without requiring new configurations provisions).</w:t>
      </w:r>
    </w:p>
    <w:p w14:paraId="6DBBCADF" w14:textId="700EBB2B" w:rsidR="00F41EF4" w:rsidRDefault="009A7059" w:rsidP="009A7059">
      <w:pPr>
        <w:jc w:val="both"/>
        <w:rPr>
          <w:b/>
          <w:bCs/>
          <w:color w:val="000000" w:themeColor="text1"/>
        </w:rPr>
      </w:pPr>
      <w:r w:rsidRPr="009A7059">
        <w:rPr>
          <w:b/>
          <w:bCs/>
          <w:color w:val="000000" w:themeColor="text1"/>
        </w:rPr>
        <w:t>Observation 4: Subsequent LTM has higher cost in terms of resource reservation in the network side compared to single cell change LTM.</w:t>
      </w:r>
    </w:p>
    <w:p w14:paraId="4EFEE2D3" w14:textId="3A573A01" w:rsidR="009A7059" w:rsidRPr="00F95743" w:rsidRDefault="009A7059" w:rsidP="009A7059">
      <w:pPr>
        <w:jc w:val="both"/>
        <w:rPr>
          <w:b/>
          <w:bCs/>
          <w:color w:val="000000" w:themeColor="text1"/>
        </w:rPr>
      </w:pPr>
      <w:r w:rsidRPr="00F95743">
        <w:rPr>
          <w:b/>
          <w:bCs/>
          <w:color w:val="000000" w:themeColor="text1"/>
        </w:rPr>
        <w:t>Observation 5: Nothing prevents a target gNB to provide LTM configuration as part of the target cell configuration in case of L3 (Baseline HO or Conditional HO) mobility.</w:t>
      </w:r>
    </w:p>
    <w:p w14:paraId="0941066E" w14:textId="3A573A01" w:rsidR="002E1A6F" w:rsidRPr="00BD1436" w:rsidRDefault="002E1A6F" w:rsidP="00707A15">
      <w:pPr>
        <w:jc w:val="both"/>
        <w:rPr>
          <w:bCs/>
          <w:color w:val="000000" w:themeColor="text1"/>
        </w:rPr>
      </w:pPr>
      <w:r w:rsidRPr="00BD1436">
        <w:rPr>
          <w:bCs/>
          <w:color w:val="000000" w:themeColor="text1"/>
        </w:rPr>
        <w:t>And the following proposals</w:t>
      </w:r>
      <w:r w:rsidR="00707A15" w:rsidRPr="00BD1436">
        <w:rPr>
          <w:bCs/>
          <w:color w:val="000000" w:themeColor="text1"/>
        </w:rPr>
        <w:t>:</w:t>
      </w:r>
    </w:p>
    <w:p w14:paraId="194012C9" w14:textId="033E260A" w:rsidR="0092133E" w:rsidRPr="00F95743" w:rsidRDefault="0092133E" w:rsidP="0092133E">
      <w:pPr>
        <w:jc w:val="both"/>
        <w:rPr>
          <w:b/>
          <w:bCs/>
          <w:color w:val="000000" w:themeColor="text1"/>
        </w:rPr>
      </w:pPr>
      <w:r w:rsidRPr="00F95743">
        <w:rPr>
          <w:b/>
          <w:bCs/>
          <w:color w:val="000000" w:themeColor="text1"/>
        </w:rPr>
        <w:t xml:space="preserve">Proposal </w:t>
      </w:r>
      <w:r w:rsidR="00BD1436">
        <w:rPr>
          <w:b/>
          <w:bCs/>
          <w:color w:val="000000" w:themeColor="text1"/>
        </w:rPr>
        <w:t>1</w:t>
      </w:r>
      <w:r w:rsidRPr="00F95743">
        <w:rPr>
          <w:b/>
          <w:bCs/>
          <w:color w:val="000000" w:themeColor="text1"/>
        </w:rPr>
        <w:t>: Both options of single cell change LTM and subsequent LTM are supported by RAN2 since they have different objectives.</w:t>
      </w:r>
    </w:p>
    <w:p w14:paraId="64C296AD" w14:textId="532F5AA3" w:rsidR="0092133E" w:rsidRPr="00F95743" w:rsidRDefault="0092133E" w:rsidP="0092133E">
      <w:pPr>
        <w:jc w:val="both"/>
        <w:rPr>
          <w:b/>
          <w:bCs/>
          <w:color w:val="000000" w:themeColor="text1"/>
        </w:rPr>
      </w:pPr>
      <w:r w:rsidRPr="00F95743">
        <w:rPr>
          <w:b/>
          <w:bCs/>
          <w:color w:val="000000" w:themeColor="text1"/>
        </w:rPr>
        <w:t xml:space="preserve">Proposal </w:t>
      </w:r>
      <w:r w:rsidR="00BD1436">
        <w:rPr>
          <w:b/>
          <w:bCs/>
          <w:color w:val="000000" w:themeColor="text1"/>
        </w:rPr>
        <w:t>2</w:t>
      </w:r>
      <w:r w:rsidRPr="00F95743">
        <w:rPr>
          <w:b/>
          <w:bCs/>
          <w:color w:val="000000" w:themeColor="text1"/>
        </w:rPr>
        <w:t>: In case of subsequent LTM, cell configurations for LTM can be maintained by the UE for a specific amount of time upon the reception of RRC Reconfiguration or the cell change.</w:t>
      </w:r>
    </w:p>
    <w:p w14:paraId="25693F71" w14:textId="4D069E51" w:rsidR="002E1A6F" w:rsidRPr="008B0AFB" w:rsidRDefault="0092133E" w:rsidP="003E17CC">
      <w:pPr>
        <w:jc w:val="both"/>
        <w:rPr>
          <w:b/>
          <w:bCs/>
          <w:color w:val="000000" w:themeColor="text1"/>
        </w:rPr>
      </w:pPr>
      <w:r w:rsidRPr="00F95743">
        <w:rPr>
          <w:b/>
          <w:bCs/>
          <w:color w:val="000000" w:themeColor="text1"/>
        </w:rPr>
        <w:t xml:space="preserve">Proposal </w:t>
      </w:r>
      <w:r w:rsidR="00BD1436">
        <w:rPr>
          <w:b/>
          <w:bCs/>
          <w:color w:val="000000" w:themeColor="text1"/>
        </w:rPr>
        <w:t>3</w:t>
      </w:r>
      <w:r w:rsidRPr="00F95743">
        <w:rPr>
          <w:b/>
          <w:bCs/>
          <w:color w:val="000000" w:themeColor="text1"/>
        </w:rPr>
        <w:t>: The target gNB can provide LTM configuration as part of the L3 mobility configuration.</w:t>
      </w:r>
    </w:p>
    <w:p w14:paraId="1E34B840" w14:textId="5E31946A" w:rsidR="00AD7278" w:rsidRPr="001A3CA3" w:rsidRDefault="00AD7278" w:rsidP="00AD7278">
      <w:pPr>
        <w:pStyle w:val="Heading1"/>
        <w:rPr>
          <w:color w:val="000000" w:themeColor="text1"/>
        </w:rPr>
      </w:pPr>
      <w:r w:rsidRPr="001A3CA3">
        <w:rPr>
          <w:color w:val="000000" w:themeColor="text1"/>
        </w:rPr>
        <w:t>References</w:t>
      </w:r>
    </w:p>
    <w:p w14:paraId="35F222F4" w14:textId="71E20709" w:rsidR="00080512" w:rsidRPr="001A3CA3" w:rsidRDefault="00AD7278" w:rsidP="009339CB">
      <w:pPr>
        <w:rPr>
          <w:color w:val="000000" w:themeColor="text1"/>
        </w:rPr>
      </w:pPr>
      <w:r w:rsidRPr="001A3CA3">
        <w:rPr>
          <w:color w:val="000000" w:themeColor="text1"/>
        </w:rPr>
        <w:t xml:space="preserve">[1] </w:t>
      </w:r>
      <w:r w:rsidRPr="001A3CA3">
        <w:rPr>
          <w:color w:val="000000" w:themeColor="text1"/>
        </w:rPr>
        <w:tab/>
      </w:r>
      <w:r w:rsidR="006B598E" w:rsidRPr="001A3CA3">
        <w:rPr>
          <w:color w:val="000000" w:themeColor="text1"/>
        </w:rPr>
        <w:tab/>
      </w:r>
      <w:r w:rsidRPr="001A3CA3">
        <w:rPr>
          <w:color w:val="000000" w:themeColor="text1"/>
        </w:rPr>
        <w:t>R2_121 Chair Notes 2023-03-03 EOM</w:t>
      </w:r>
    </w:p>
    <w:p w14:paraId="315DAF65" w14:textId="3A573A01" w:rsidR="00CB2241" w:rsidRDefault="00CB2241" w:rsidP="009339CB">
      <w:pPr>
        <w:rPr>
          <w:color w:val="000000" w:themeColor="text1"/>
          <w:lang w:val="de-DE"/>
        </w:rPr>
      </w:pPr>
      <w:r w:rsidRPr="00C37A15">
        <w:rPr>
          <w:color w:val="000000" w:themeColor="text1"/>
          <w:lang w:val="de-DE"/>
        </w:rPr>
        <w:t>[2]</w:t>
      </w:r>
      <w:r>
        <w:tab/>
      </w:r>
      <w:r>
        <w:tab/>
      </w:r>
      <w:r w:rsidR="001947DC" w:rsidRPr="00C37A15">
        <w:rPr>
          <w:color w:val="000000" w:themeColor="text1"/>
          <w:lang w:val="de-DE"/>
        </w:rPr>
        <w:t>R2_121bis-e Chair Notes EOM.docx</w:t>
      </w:r>
    </w:p>
    <w:p w14:paraId="39088E64" w14:textId="00B8A721" w:rsidR="007A40E9" w:rsidRPr="00AC152D" w:rsidRDefault="00F95743" w:rsidP="00AC152D">
      <w:pPr>
        <w:ind w:left="568" w:hanging="568"/>
        <w:rPr>
          <w:color w:val="000000" w:themeColor="text1"/>
          <w:lang w:val="en-US"/>
        </w:rPr>
      </w:pPr>
      <w:r w:rsidRPr="00AC152D">
        <w:rPr>
          <w:color w:val="000000" w:themeColor="text1"/>
          <w:lang w:val="en-US"/>
        </w:rPr>
        <w:t>[3]</w:t>
      </w:r>
      <w:r w:rsidRPr="00AC152D">
        <w:rPr>
          <w:color w:val="000000" w:themeColor="text1"/>
          <w:lang w:val="en-US"/>
        </w:rPr>
        <w:tab/>
      </w:r>
      <w:r w:rsidR="00E76D49" w:rsidRPr="00AC152D">
        <w:rPr>
          <w:color w:val="000000" w:themeColor="text1"/>
          <w:lang w:val="en-US"/>
        </w:rPr>
        <w:t>Alperen Gündogan, Akin Badalioglu, Panagiotis Spapis, Ahmad Awada, „On the Modelling and Performance Analysis of Lower Layer Mobility in 5G-Advanced</w:t>
      </w:r>
      <w:r w:rsidR="00E76D49">
        <w:rPr>
          <w:color w:val="000000" w:themeColor="text1"/>
          <w:lang w:val="en-US"/>
        </w:rPr>
        <w:t>”</w:t>
      </w:r>
      <w:r w:rsidR="00E76D49" w:rsidRPr="00AC152D">
        <w:rPr>
          <w:color w:val="000000" w:themeColor="text1"/>
          <w:lang w:val="en-US"/>
        </w:rPr>
        <w:t>. WCNC 2023</w:t>
      </w:r>
    </w:p>
    <w:sectPr w:rsidR="007A40E9" w:rsidRPr="00AC152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DD2F65" w14:textId="77777777" w:rsidR="00F61332" w:rsidRDefault="00F61332">
      <w:r>
        <w:separator/>
      </w:r>
    </w:p>
  </w:endnote>
  <w:endnote w:type="continuationSeparator" w:id="0">
    <w:p w14:paraId="2F8D9C99" w14:textId="77777777" w:rsidR="00F61332" w:rsidRDefault="00F61332">
      <w:r>
        <w:continuationSeparator/>
      </w:r>
    </w:p>
  </w:endnote>
  <w:endnote w:type="continuationNotice" w:id="1">
    <w:p w14:paraId="0C2A319C" w14:textId="77777777" w:rsidR="00F61332" w:rsidRDefault="00F613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F69D63" w14:textId="77777777" w:rsidR="00F61332" w:rsidRDefault="00F61332">
      <w:r>
        <w:separator/>
      </w:r>
    </w:p>
  </w:footnote>
  <w:footnote w:type="continuationSeparator" w:id="0">
    <w:p w14:paraId="336C3152" w14:textId="77777777" w:rsidR="00F61332" w:rsidRDefault="00F61332">
      <w:r>
        <w:continuationSeparator/>
      </w:r>
    </w:p>
  </w:footnote>
  <w:footnote w:type="continuationNotice" w:id="1">
    <w:p w14:paraId="7A876576" w14:textId="77777777" w:rsidR="00F61332" w:rsidRDefault="00F613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90193B"/>
    <w:multiLevelType w:val="multilevel"/>
    <w:tmpl w:val="5CD61792"/>
    <w:lvl w:ilvl="0">
      <w:start w:val="2"/>
      <w:numFmt w:val="decimal"/>
      <w:lvlText w:val="%1"/>
      <w:lvlJc w:val="left"/>
      <w:pPr>
        <w:ind w:left="640" w:hanging="640"/>
      </w:pPr>
      <w:rPr>
        <w:rFonts w:hint="default"/>
      </w:rPr>
    </w:lvl>
    <w:lvl w:ilvl="1">
      <w:start w:val="3"/>
      <w:numFmt w:val="decimal"/>
      <w:lvlText w:val="%1.%2"/>
      <w:lvlJc w:val="left"/>
      <w:pPr>
        <w:ind w:left="640" w:hanging="6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16E5027"/>
    <w:multiLevelType w:val="hybridMultilevel"/>
    <w:tmpl w:val="488471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9966B29"/>
    <w:multiLevelType w:val="hybridMultilevel"/>
    <w:tmpl w:val="C4F46544"/>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8" w15:restartNumberingAfterBreak="0">
    <w:nsid w:val="40345EC4"/>
    <w:multiLevelType w:val="hybridMultilevel"/>
    <w:tmpl w:val="DA4E8B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7264B9"/>
    <w:multiLevelType w:val="hybridMultilevel"/>
    <w:tmpl w:val="D3B202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74B4D27"/>
    <w:multiLevelType w:val="hybridMultilevel"/>
    <w:tmpl w:val="1DDE0DA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9410342"/>
    <w:multiLevelType w:val="hybridMultilevel"/>
    <w:tmpl w:val="07A6E6C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4B374C78"/>
    <w:multiLevelType w:val="hybridMultilevel"/>
    <w:tmpl w:val="DA4E8B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5542142D"/>
    <w:multiLevelType w:val="hybridMultilevel"/>
    <w:tmpl w:val="53AC627C"/>
    <w:lvl w:ilvl="0" w:tplc="0407000F">
      <w:start w:val="1"/>
      <w:numFmt w:val="decimal"/>
      <w:lvlText w:val="%1."/>
      <w:lvlJc w:val="left"/>
      <w:pPr>
        <w:ind w:left="720" w:hanging="360"/>
      </w:pPr>
      <w:rPr>
        <w:rFonts w:hint="default"/>
      </w:rPr>
    </w:lvl>
    <w:lvl w:ilvl="1" w:tplc="04070001">
      <w:start w:val="1"/>
      <w:numFmt w:val="bullet"/>
      <w:lvlText w:val=""/>
      <w:lvlJc w:val="left"/>
      <w:pPr>
        <w:ind w:left="1440" w:hanging="360"/>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0783988"/>
    <w:multiLevelType w:val="hybridMultilevel"/>
    <w:tmpl w:val="758C0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C17A0B"/>
    <w:multiLevelType w:val="hybridMultilevel"/>
    <w:tmpl w:val="6D2CC15E"/>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63144A4"/>
    <w:multiLevelType w:val="hybridMultilevel"/>
    <w:tmpl w:val="327C41DA"/>
    <w:lvl w:ilvl="0" w:tplc="04070011">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A2F6115"/>
    <w:multiLevelType w:val="hybridMultilevel"/>
    <w:tmpl w:val="07A6E6C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241365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556414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660195">
    <w:abstractNumId w:val="1"/>
  </w:num>
  <w:num w:numId="4" w16cid:durableId="569733834">
    <w:abstractNumId w:val="6"/>
  </w:num>
  <w:num w:numId="5" w16cid:durableId="1926646811">
    <w:abstractNumId w:val="5"/>
  </w:num>
  <w:num w:numId="6" w16cid:durableId="1681736265">
    <w:abstractNumId w:val="12"/>
  </w:num>
  <w:num w:numId="7" w16cid:durableId="650061360">
    <w:abstractNumId w:val="13"/>
  </w:num>
  <w:num w:numId="8" w16cid:durableId="1181967526">
    <w:abstractNumId w:val="21"/>
  </w:num>
  <w:num w:numId="9" w16cid:durableId="39747020">
    <w:abstractNumId w:val="21"/>
  </w:num>
  <w:num w:numId="10" w16cid:durableId="1178272135">
    <w:abstractNumId w:val="21"/>
  </w:num>
  <w:num w:numId="11" w16cid:durableId="932972690">
    <w:abstractNumId w:val="18"/>
  </w:num>
  <w:num w:numId="12" w16cid:durableId="1958641277">
    <w:abstractNumId w:val="20"/>
  </w:num>
  <w:num w:numId="13" w16cid:durableId="1138261398">
    <w:abstractNumId w:val="19"/>
  </w:num>
  <w:num w:numId="14" w16cid:durableId="683938252">
    <w:abstractNumId w:val="11"/>
  </w:num>
  <w:num w:numId="15" w16cid:durableId="1998921176">
    <w:abstractNumId w:val="16"/>
  </w:num>
  <w:num w:numId="16" w16cid:durableId="45240554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5769339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801682598">
    <w:abstractNumId w:val="17"/>
  </w:num>
  <w:num w:numId="19" w16cid:durableId="173404076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1992491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7253251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16cid:durableId="6294779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242840399">
    <w:abstractNumId w:val="21"/>
  </w:num>
  <w:num w:numId="24" w16cid:durableId="2143839044">
    <w:abstractNumId w:val="21"/>
  </w:num>
  <w:num w:numId="25" w16cid:durableId="88893991">
    <w:abstractNumId w:val="8"/>
  </w:num>
  <w:num w:numId="26" w16cid:durableId="521015366">
    <w:abstractNumId w:val="7"/>
  </w:num>
  <w:num w:numId="27" w16cid:durableId="134419563">
    <w:abstractNumId w:val="2"/>
  </w:num>
  <w:num w:numId="28" w16cid:durableId="2075814190">
    <w:abstractNumId w:val="14"/>
  </w:num>
  <w:num w:numId="29" w16cid:durableId="1393499570">
    <w:abstractNumId w:val="9"/>
  </w:num>
  <w:num w:numId="30" w16cid:durableId="1899707029">
    <w:abstractNumId w:val="15"/>
  </w:num>
  <w:num w:numId="31" w16cid:durableId="353770386">
    <w:abstractNumId w:val="3"/>
  </w:num>
  <w:num w:numId="32" w16cid:durableId="1621497230">
    <w:abstractNumId w:val="10"/>
  </w:num>
  <w:num w:numId="33" w16cid:durableId="367461043">
    <w:abstractNumId w:val="4"/>
  </w:num>
  <w:num w:numId="34" w16cid:durableId="10636043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73574190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10854901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838904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6003326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9" w16cid:durableId="78604808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70883817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90322174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4BA"/>
    <w:rsid w:val="00002002"/>
    <w:rsid w:val="000040C4"/>
    <w:rsid w:val="00006C10"/>
    <w:rsid w:val="00011D57"/>
    <w:rsid w:val="00013CB4"/>
    <w:rsid w:val="00016557"/>
    <w:rsid w:val="00023C40"/>
    <w:rsid w:val="00024C4E"/>
    <w:rsid w:val="00032D92"/>
    <w:rsid w:val="00033397"/>
    <w:rsid w:val="000347F8"/>
    <w:rsid w:val="000363EB"/>
    <w:rsid w:val="00040095"/>
    <w:rsid w:val="00041F10"/>
    <w:rsid w:val="00042CB9"/>
    <w:rsid w:val="00042E68"/>
    <w:rsid w:val="00043360"/>
    <w:rsid w:val="000440AC"/>
    <w:rsid w:val="00046110"/>
    <w:rsid w:val="0004646F"/>
    <w:rsid w:val="00047F91"/>
    <w:rsid w:val="00055D19"/>
    <w:rsid w:val="00065207"/>
    <w:rsid w:val="00065268"/>
    <w:rsid w:val="00065F9A"/>
    <w:rsid w:val="00071FEB"/>
    <w:rsid w:val="00073C9C"/>
    <w:rsid w:val="00076412"/>
    <w:rsid w:val="00080512"/>
    <w:rsid w:val="0008147F"/>
    <w:rsid w:val="000822FB"/>
    <w:rsid w:val="00090468"/>
    <w:rsid w:val="00091652"/>
    <w:rsid w:val="00092233"/>
    <w:rsid w:val="00093363"/>
    <w:rsid w:val="00094568"/>
    <w:rsid w:val="0009562E"/>
    <w:rsid w:val="00096D7C"/>
    <w:rsid w:val="00097EA7"/>
    <w:rsid w:val="000A454A"/>
    <w:rsid w:val="000A75DE"/>
    <w:rsid w:val="000B7347"/>
    <w:rsid w:val="000B7BCF"/>
    <w:rsid w:val="000B7BFF"/>
    <w:rsid w:val="000C26AA"/>
    <w:rsid w:val="000C522B"/>
    <w:rsid w:val="000C66B5"/>
    <w:rsid w:val="000C767A"/>
    <w:rsid w:val="000D07F6"/>
    <w:rsid w:val="000D0979"/>
    <w:rsid w:val="000D2065"/>
    <w:rsid w:val="000D3057"/>
    <w:rsid w:val="000D42EB"/>
    <w:rsid w:val="000D58AB"/>
    <w:rsid w:val="000E00E8"/>
    <w:rsid w:val="000E3ECB"/>
    <w:rsid w:val="000E4040"/>
    <w:rsid w:val="000F0482"/>
    <w:rsid w:val="000F09FD"/>
    <w:rsid w:val="000F0E60"/>
    <w:rsid w:val="000F26AF"/>
    <w:rsid w:val="000F6A6B"/>
    <w:rsid w:val="000F75D3"/>
    <w:rsid w:val="00102971"/>
    <w:rsid w:val="00107BA6"/>
    <w:rsid w:val="0011079C"/>
    <w:rsid w:val="00112170"/>
    <w:rsid w:val="00112F1A"/>
    <w:rsid w:val="00115364"/>
    <w:rsid w:val="00121C7A"/>
    <w:rsid w:val="0012473B"/>
    <w:rsid w:val="00124928"/>
    <w:rsid w:val="00135A39"/>
    <w:rsid w:val="00136E92"/>
    <w:rsid w:val="001415C5"/>
    <w:rsid w:val="001432D4"/>
    <w:rsid w:val="00143BE2"/>
    <w:rsid w:val="001442C0"/>
    <w:rsid w:val="00145075"/>
    <w:rsid w:val="00147CD5"/>
    <w:rsid w:val="00154143"/>
    <w:rsid w:val="00161F7E"/>
    <w:rsid w:val="001620D4"/>
    <w:rsid w:val="001638C6"/>
    <w:rsid w:val="001669E8"/>
    <w:rsid w:val="00167783"/>
    <w:rsid w:val="00171264"/>
    <w:rsid w:val="00172E15"/>
    <w:rsid w:val="001741A0"/>
    <w:rsid w:val="00175FA0"/>
    <w:rsid w:val="001776B8"/>
    <w:rsid w:val="00181637"/>
    <w:rsid w:val="001860DE"/>
    <w:rsid w:val="00186DA7"/>
    <w:rsid w:val="00190088"/>
    <w:rsid w:val="00190643"/>
    <w:rsid w:val="00192313"/>
    <w:rsid w:val="0019252F"/>
    <w:rsid w:val="00193DDC"/>
    <w:rsid w:val="001947DC"/>
    <w:rsid w:val="00194CD0"/>
    <w:rsid w:val="001A3CA3"/>
    <w:rsid w:val="001A728F"/>
    <w:rsid w:val="001B059B"/>
    <w:rsid w:val="001B0B4E"/>
    <w:rsid w:val="001B2B79"/>
    <w:rsid w:val="001B4098"/>
    <w:rsid w:val="001B49C9"/>
    <w:rsid w:val="001B4E08"/>
    <w:rsid w:val="001B61E1"/>
    <w:rsid w:val="001C23F4"/>
    <w:rsid w:val="001C2C74"/>
    <w:rsid w:val="001C4F79"/>
    <w:rsid w:val="001D4580"/>
    <w:rsid w:val="001E1328"/>
    <w:rsid w:val="001E1F27"/>
    <w:rsid w:val="001E3475"/>
    <w:rsid w:val="001E5523"/>
    <w:rsid w:val="001F158C"/>
    <w:rsid w:val="001F168B"/>
    <w:rsid w:val="001F6F07"/>
    <w:rsid w:val="001F7831"/>
    <w:rsid w:val="00200072"/>
    <w:rsid w:val="002003FD"/>
    <w:rsid w:val="002006A0"/>
    <w:rsid w:val="002015E3"/>
    <w:rsid w:val="00201655"/>
    <w:rsid w:val="00202F77"/>
    <w:rsid w:val="00204045"/>
    <w:rsid w:val="0020712B"/>
    <w:rsid w:val="002071E9"/>
    <w:rsid w:val="002103EE"/>
    <w:rsid w:val="00214440"/>
    <w:rsid w:val="00215F67"/>
    <w:rsid w:val="002171D3"/>
    <w:rsid w:val="002178E7"/>
    <w:rsid w:val="00221A52"/>
    <w:rsid w:val="00221E7B"/>
    <w:rsid w:val="0022606D"/>
    <w:rsid w:val="00231728"/>
    <w:rsid w:val="00235D38"/>
    <w:rsid w:val="00237EDC"/>
    <w:rsid w:val="00243557"/>
    <w:rsid w:val="00244A05"/>
    <w:rsid w:val="00246139"/>
    <w:rsid w:val="002461CA"/>
    <w:rsid w:val="00250404"/>
    <w:rsid w:val="00252CD8"/>
    <w:rsid w:val="002554B9"/>
    <w:rsid w:val="00255A72"/>
    <w:rsid w:val="00256B74"/>
    <w:rsid w:val="002609B9"/>
    <w:rsid w:val="00260D94"/>
    <w:rsid w:val="002610D8"/>
    <w:rsid w:val="0026293F"/>
    <w:rsid w:val="00264309"/>
    <w:rsid w:val="00266898"/>
    <w:rsid w:val="00266986"/>
    <w:rsid w:val="002671CD"/>
    <w:rsid w:val="002734B4"/>
    <w:rsid w:val="002747EC"/>
    <w:rsid w:val="0028150D"/>
    <w:rsid w:val="002855BF"/>
    <w:rsid w:val="002861A1"/>
    <w:rsid w:val="00286B98"/>
    <w:rsid w:val="00294CBF"/>
    <w:rsid w:val="002A3EF4"/>
    <w:rsid w:val="002A5241"/>
    <w:rsid w:val="002B056A"/>
    <w:rsid w:val="002B1571"/>
    <w:rsid w:val="002B2988"/>
    <w:rsid w:val="002B4DEC"/>
    <w:rsid w:val="002B5842"/>
    <w:rsid w:val="002C35F0"/>
    <w:rsid w:val="002C3957"/>
    <w:rsid w:val="002C76C2"/>
    <w:rsid w:val="002C7D88"/>
    <w:rsid w:val="002C7F05"/>
    <w:rsid w:val="002D0F94"/>
    <w:rsid w:val="002D24EC"/>
    <w:rsid w:val="002E1A6F"/>
    <w:rsid w:val="002E3D4A"/>
    <w:rsid w:val="002F0D22"/>
    <w:rsid w:val="002F356C"/>
    <w:rsid w:val="002F6666"/>
    <w:rsid w:val="002F6AA3"/>
    <w:rsid w:val="002F7AFE"/>
    <w:rsid w:val="002F7C40"/>
    <w:rsid w:val="003042BB"/>
    <w:rsid w:val="00311037"/>
    <w:rsid w:val="00311B17"/>
    <w:rsid w:val="00313EEF"/>
    <w:rsid w:val="00314B11"/>
    <w:rsid w:val="003172DC"/>
    <w:rsid w:val="0032461A"/>
    <w:rsid w:val="00325AE3"/>
    <w:rsid w:val="00326069"/>
    <w:rsid w:val="00331FD4"/>
    <w:rsid w:val="003325F2"/>
    <w:rsid w:val="003376BD"/>
    <w:rsid w:val="00340FD6"/>
    <w:rsid w:val="0034662E"/>
    <w:rsid w:val="00346A66"/>
    <w:rsid w:val="00351B69"/>
    <w:rsid w:val="003535EF"/>
    <w:rsid w:val="0035462D"/>
    <w:rsid w:val="0036459E"/>
    <w:rsid w:val="00364B41"/>
    <w:rsid w:val="00366EAF"/>
    <w:rsid w:val="00372634"/>
    <w:rsid w:val="003743BD"/>
    <w:rsid w:val="003756EF"/>
    <w:rsid w:val="003804CE"/>
    <w:rsid w:val="00383096"/>
    <w:rsid w:val="0039256C"/>
    <w:rsid w:val="0039346C"/>
    <w:rsid w:val="0039518F"/>
    <w:rsid w:val="00395346"/>
    <w:rsid w:val="003971B7"/>
    <w:rsid w:val="003976F8"/>
    <w:rsid w:val="003A0B60"/>
    <w:rsid w:val="003A1AE0"/>
    <w:rsid w:val="003A211A"/>
    <w:rsid w:val="003A41EF"/>
    <w:rsid w:val="003A6338"/>
    <w:rsid w:val="003A701A"/>
    <w:rsid w:val="003A7A95"/>
    <w:rsid w:val="003B40AD"/>
    <w:rsid w:val="003B7FB5"/>
    <w:rsid w:val="003C052A"/>
    <w:rsid w:val="003C4E37"/>
    <w:rsid w:val="003C668B"/>
    <w:rsid w:val="003D0FD0"/>
    <w:rsid w:val="003D1B14"/>
    <w:rsid w:val="003D3C63"/>
    <w:rsid w:val="003D4035"/>
    <w:rsid w:val="003E148F"/>
    <w:rsid w:val="003E16BE"/>
    <w:rsid w:val="003E17CC"/>
    <w:rsid w:val="003E3855"/>
    <w:rsid w:val="003E3B56"/>
    <w:rsid w:val="003F3B95"/>
    <w:rsid w:val="003F4E28"/>
    <w:rsid w:val="003F7849"/>
    <w:rsid w:val="004006E8"/>
    <w:rsid w:val="00401855"/>
    <w:rsid w:val="00404309"/>
    <w:rsid w:val="00406A5A"/>
    <w:rsid w:val="00411F11"/>
    <w:rsid w:val="004156EC"/>
    <w:rsid w:val="00415AFC"/>
    <w:rsid w:val="00417D3B"/>
    <w:rsid w:val="0042268B"/>
    <w:rsid w:val="0042667A"/>
    <w:rsid w:val="0043148A"/>
    <w:rsid w:val="00432999"/>
    <w:rsid w:val="004339B8"/>
    <w:rsid w:val="00436638"/>
    <w:rsid w:val="0043687A"/>
    <w:rsid w:val="00445E23"/>
    <w:rsid w:val="00446C3A"/>
    <w:rsid w:val="00450498"/>
    <w:rsid w:val="00451EC9"/>
    <w:rsid w:val="004521BD"/>
    <w:rsid w:val="00452352"/>
    <w:rsid w:val="00452DBB"/>
    <w:rsid w:val="00457505"/>
    <w:rsid w:val="00460897"/>
    <w:rsid w:val="00460EFC"/>
    <w:rsid w:val="00461F9C"/>
    <w:rsid w:val="0046493B"/>
    <w:rsid w:val="00464A46"/>
    <w:rsid w:val="00464D54"/>
    <w:rsid w:val="00465587"/>
    <w:rsid w:val="00467AB9"/>
    <w:rsid w:val="00477455"/>
    <w:rsid w:val="00484E77"/>
    <w:rsid w:val="00485652"/>
    <w:rsid w:val="00486089"/>
    <w:rsid w:val="0049106A"/>
    <w:rsid w:val="004917D8"/>
    <w:rsid w:val="00492314"/>
    <w:rsid w:val="004A00CE"/>
    <w:rsid w:val="004A1AD4"/>
    <w:rsid w:val="004A1F7B"/>
    <w:rsid w:val="004A4BC6"/>
    <w:rsid w:val="004A6C2F"/>
    <w:rsid w:val="004A7984"/>
    <w:rsid w:val="004B5949"/>
    <w:rsid w:val="004B6F07"/>
    <w:rsid w:val="004C44D2"/>
    <w:rsid w:val="004C4BB6"/>
    <w:rsid w:val="004D0149"/>
    <w:rsid w:val="004D24C1"/>
    <w:rsid w:val="004D3578"/>
    <w:rsid w:val="004D380D"/>
    <w:rsid w:val="004D60CE"/>
    <w:rsid w:val="004E1199"/>
    <w:rsid w:val="004E213A"/>
    <w:rsid w:val="004E5922"/>
    <w:rsid w:val="004E5B68"/>
    <w:rsid w:val="004E5F93"/>
    <w:rsid w:val="004F4540"/>
    <w:rsid w:val="004F73A7"/>
    <w:rsid w:val="00500387"/>
    <w:rsid w:val="0050266A"/>
    <w:rsid w:val="00503171"/>
    <w:rsid w:val="00503753"/>
    <w:rsid w:val="00506C28"/>
    <w:rsid w:val="00507E0D"/>
    <w:rsid w:val="005105F8"/>
    <w:rsid w:val="00514E12"/>
    <w:rsid w:val="00514F04"/>
    <w:rsid w:val="00520402"/>
    <w:rsid w:val="005205EE"/>
    <w:rsid w:val="00523397"/>
    <w:rsid w:val="00525DE1"/>
    <w:rsid w:val="005305D5"/>
    <w:rsid w:val="005306FA"/>
    <w:rsid w:val="00530FEF"/>
    <w:rsid w:val="00532FF4"/>
    <w:rsid w:val="00534C29"/>
    <w:rsid w:val="00534DA0"/>
    <w:rsid w:val="00543E6C"/>
    <w:rsid w:val="00544D51"/>
    <w:rsid w:val="00546717"/>
    <w:rsid w:val="00547C2C"/>
    <w:rsid w:val="005517C4"/>
    <w:rsid w:val="00553700"/>
    <w:rsid w:val="00557094"/>
    <w:rsid w:val="005570A7"/>
    <w:rsid w:val="00563CE7"/>
    <w:rsid w:val="00565087"/>
    <w:rsid w:val="0056573F"/>
    <w:rsid w:val="005667E2"/>
    <w:rsid w:val="00567809"/>
    <w:rsid w:val="00567A23"/>
    <w:rsid w:val="005705A6"/>
    <w:rsid w:val="00571279"/>
    <w:rsid w:val="00587E47"/>
    <w:rsid w:val="00596EC9"/>
    <w:rsid w:val="005A13AB"/>
    <w:rsid w:val="005A29D3"/>
    <w:rsid w:val="005A3A49"/>
    <w:rsid w:val="005A49C6"/>
    <w:rsid w:val="005A54B4"/>
    <w:rsid w:val="005B3D35"/>
    <w:rsid w:val="005B4435"/>
    <w:rsid w:val="005C766E"/>
    <w:rsid w:val="005C7CD5"/>
    <w:rsid w:val="005D0CB0"/>
    <w:rsid w:val="005D1884"/>
    <w:rsid w:val="005D18AC"/>
    <w:rsid w:val="005D3706"/>
    <w:rsid w:val="005E28E9"/>
    <w:rsid w:val="005E4DE9"/>
    <w:rsid w:val="005E6981"/>
    <w:rsid w:val="005E6E49"/>
    <w:rsid w:val="005E6E63"/>
    <w:rsid w:val="005E71C1"/>
    <w:rsid w:val="005E7A23"/>
    <w:rsid w:val="005F0933"/>
    <w:rsid w:val="005F219C"/>
    <w:rsid w:val="005F45D7"/>
    <w:rsid w:val="005F4E7D"/>
    <w:rsid w:val="005F7DFB"/>
    <w:rsid w:val="0060163E"/>
    <w:rsid w:val="00603FE5"/>
    <w:rsid w:val="0060530E"/>
    <w:rsid w:val="00611566"/>
    <w:rsid w:val="006121C8"/>
    <w:rsid w:val="00612D37"/>
    <w:rsid w:val="00613847"/>
    <w:rsid w:val="006350E3"/>
    <w:rsid w:val="00635577"/>
    <w:rsid w:val="00640298"/>
    <w:rsid w:val="00641057"/>
    <w:rsid w:val="00646D99"/>
    <w:rsid w:val="006509A7"/>
    <w:rsid w:val="006524F1"/>
    <w:rsid w:val="0065358B"/>
    <w:rsid w:val="00653CA7"/>
    <w:rsid w:val="00655FDA"/>
    <w:rsid w:val="0065632A"/>
    <w:rsid w:val="00656910"/>
    <w:rsid w:val="006574C0"/>
    <w:rsid w:val="00657F14"/>
    <w:rsid w:val="00660F5A"/>
    <w:rsid w:val="00663C55"/>
    <w:rsid w:val="00663D26"/>
    <w:rsid w:val="0066463A"/>
    <w:rsid w:val="00664BA2"/>
    <w:rsid w:val="00670B02"/>
    <w:rsid w:val="006711A1"/>
    <w:rsid w:val="00673F2B"/>
    <w:rsid w:val="00675CEF"/>
    <w:rsid w:val="00676762"/>
    <w:rsid w:val="00677D5A"/>
    <w:rsid w:val="00677F61"/>
    <w:rsid w:val="00685354"/>
    <w:rsid w:val="00687866"/>
    <w:rsid w:val="00687BB6"/>
    <w:rsid w:val="00696821"/>
    <w:rsid w:val="006A0884"/>
    <w:rsid w:val="006A67C3"/>
    <w:rsid w:val="006B17D4"/>
    <w:rsid w:val="006B370A"/>
    <w:rsid w:val="006B3CAA"/>
    <w:rsid w:val="006B3E05"/>
    <w:rsid w:val="006B598E"/>
    <w:rsid w:val="006B7212"/>
    <w:rsid w:val="006C496C"/>
    <w:rsid w:val="006C49D7"/>
    <w:rsid w:val="006C4A92"/>
    <w:rsid w:val="006C66D8"/>
    <w:rsid w:val="006C7CFD"/>
    <w:rsid w:val="006D1E24"/>
    <w:rsid w:val="006D20C2"/>
    <w:rsid w:val="006D2506"/>
    <w:rsid w:val="006D35DE"/>
    <w:rsid w:val="006D512C"/>
    <w:rsid w:val="006E1057"/>
    <w:rsid w:val="006E1417"/>
    <w:rsid w:val="006E1D0F"/>
    <w:rsid w:val="006E22DC"/>
    <w:rsid w:val="006E2F67"/>
    <w:rsid w:val="006E3FFA"/>
    <w:rsid w:val="006E4DCA"/>
    <w:rsid w:val="006E6C16"/>
    <w:rsid w:val="006E7FAA"/>
    <w:rsid w:val="006F132A"/>
    <w:rsid w:val="006F2F9D"/>
    <w:rsid w:val="006F3722"/>
    <w:rsid w:val="006F6215"/>
    <w:rsid w:val="006F6921"/>
    <w:rsid w:val="006F6A2C"/>
    <w:rsid w:val="007069DC"/>
    <w:rsid w:val="00707A15"/>
    <w:rsid w:val="00710201"/>
    <w:rsid w:val="00712B5B"/>
    <w:rsid w:val="007133E1"/>
    <w:rsid w:val="00720430"/>
    <w:rsid w:val="0072073A"/>
    <w:rsid w:val="007216F7"/>
    <w:rsid w:val="007239C2"/>
    <w:rsid w:val="00725BC8"/>
    <w:rsid w:val="007342B5"/>
    <w:rsid w:val="00734A5B"/>
    <w:rsid w:val="00741069"/>
    <w:rsid w:val="0074190C"/>
    <w:rsid w:val="007429D5"/>
    <w:rsid w:val="00744E76"/>
    <w:rsid w:val="00745EBB"/>
    <w:rsid w:val="00750E29"/>
    <w:rsid w:val="007518C1"/>
    <w:rsid w:val="007528AA"/>
    <w:rsid w:val="00754502"/>
    <w:rsid w:val="0075609A"/>
    <w:rsid w:val="00756B08"/>
    <w:rsid w:val="00757D40"/>
    <w:rsid w:val="00760AEB"/>
    <w:rsid w:val="00760EDA"/>
    <w:rsid w:val="007614DB"/>
    <w:rsid w:val="007618B9"/>
    <w:rsid w:val="00765276"/>
    <w:rsid w:val="007662B5"/>
    <w:rsid w:val="007705C3"/>
    <w:rsid w:val="00771740"/>
    <w:rsid w:val="007755F8"/>
    <w:rsid w:val="00775730"/>
    <w:rsid w:val="007779FE"/>
    <w:rsid w:val="007802F3"/>
    <w:rsid w:val="00781F0F"/>
    <w:rsid w:val="00782DC3"/>
    <w:rsid w:val="00783C1C"/>
    <w:rsid w:val="007840A4"/>
    <w:rsid w:val="00784811"/>
    <w:rsid w:val="007852EC"/>
    <w:rsid w:val="00786AA6"/>
    <w:rsid w:val="0078727C"/>
    <w:rsid w:val="0079049D"/>
    <w:rsid w:val="00791263"/>
    <w:rsid w:val="00791C97"/>
    <w:rsid w:val="00792568"/>
    <w:rsid w:val="00793DC5"/>
    <w:rsid w:val="00793E3D"/>
    <w:rsid w:val="00794947"/>
    <w:rsid w:val="00796823"/>
    <w:rsid w:val="007A04DC"/>
    <w:rsid w:val="007A1169"/>
    <w:rsid w:val="007A2E55"/>
    <w:rsid w:val="007A40E9"/>
    <w:rsid w:val="007A7AD9"/>
    <w:rsid w:val="007A7CB9"/>
    <w:rsid w:val="007B18D8"/>
    <w:rsid w:val="007B54CA"/>
    <w:rsid w:val="007C095F"/>
    <w:rsid w:val="007C2DD0"/>
    <w:rsid w:val="007C4BE9"/>
    <w:rsid w:val="007C622B"/>
    <w:rsid w:val="007C6E6D"/>
    <w:rsid w:val="007D1825"/>
    <w:rsid w:val="007D6C2C"/>
    <w:rsid w:val="007E13B5"/>
    <w:rsid w:val="007E7811"/>
    <w:rsid w:val="007F0568"/>
    <w:rsid w:val="007F0C1C"/>
    <w:rsid w:val="007F2E08"/>
    <w:rsid w:val="00800ADA"/>
    <w:rsid w:val="008024FA"/>
    <w:rsid w:val="008028A4"/>
    <w:rsid w:val="0080400F"/>
    <w:rsid w:val="008047E1"/>
    <w:rsid w:val="00805D7C"/>
    <w:rsid w:val="00807221"/>
    <w:rsid w:val="00811138"/>
    <w:rsid w:val="00813245"/>
    <w:rsid w:val="0081366E"/>
    <w:rsid w:val="00813C85"/>
    <w:rsid w:val="0081734B"/>
    <w:rsid w:val="00821C58"/>
    <w:rsid w:val="00823B10"/>
    <w:rsid w:val="00825A9D"/>
    <w:rsid w:val="00840DE0"/>
    <w:rsid w:val="00843862"/>
    <w:rsid w:val="00844BED"/>
    <w:rsid w:val="00847CD0"/>
    <w:rsid w:val="00850491"/>
    <w:rsid w:val="00851E03"/>
    <w:rsid w:val="008531DE"/>
    <w:rsid w:val="00856BD7"/>
    <w:rsid w:val="008573A1"/>
    <w:rsid w:val="008607A8"/>
    <w:rsid w:val="00862ABB"/>
    <w:rsid w:val="0086354A"/>
    <w:rsid w:val="008718B2"/>
    <w:rsid w:val="00872172"/>
    <w:rsid w:val="008722BC"/>
    <w:rsid w:val="00872EA2"/>
    <w:rsid w:val="00874B71"/>
    <w:rsid w:val="008768CA"/>
    <w:rsid w:val="00876ADE"/>
    <w:rsid w:val="00877EF9"/>
    <w:rsid w:val="00880559"/>
    <w:rsid w:val="00885285"/>
    <w:rsid w:val="008864CE"/>
    <w:rsid w:val="00886BEB"/>
    <w:rsid w:val="00886E9A"/>
    <w:rsid w:val="00890C73"/>
    <w:rsid w:val="00891025"/>
    <w:rsid w:val="00895DB5"/>
    <w:rsid w:val="008A1FE0"/>
    <w:rsid w:val="008A2E70"/>
    <w:rsid w:val="008A2FF7"/>
    <w:rsid w:val="008A5247"/>
    <w:rsid w:val="008B0AFB"/>
    <w:rsid w:val="008B1AC6"/>
    <w:rsid w:val="008B5306"/>
    <w:rsid w:val="008B54E8"/>
    <w:rsid w:val="008B67AA"/>
    <w:rsid w:val="008C1577"/>
    <w:rsid w:val="008C2E2A"/>
    <w:rsid w:val="008C3057"/>
    <w:rsid w:val="008C5894"/>
    <w:rsid w:val="008D2E4D"/>
    <w:rsid w:val="008E12B4"/>
    <w:rsid w:val="008E3E18"/>
    <w:rsid w:val="008E3EBB"/>
    <w:rsid w:val="008E4F67"/>
    <w:rsid w:val="008E5ACB"/>
    <w:rsid w:val="008E5D0E"/>
    <w:rsid w:val="008F2421"/>
    <w:rsid w:val="008F396F"/>
    <w:rsid w:val="008F3C88"/>
    <w:rsid w:val="008F3DCD"/>
    <w:rsid w:val="008F4A42"/>
    <w:rsid w:val="008F5D0B"/>
    <w:rsid w:val="008F7607"/>
    <w:rsid w:val="00902097"/>
    <w:rsid w:val="0090271F"/>
    <w:rsid w:val="00902DB9"/>
    <w:rsid w:val="0090466A"/>
    <w:rsid w:val="0090563B"/>
    <w:rsid w:val="00905E5A"/>
    <w:rsid w:val="00905F1E"/>
    <w:rsid w:val="009066B3"/>
    <w:rsid w:val="009109B5"/>
    <w:rsid w:val="009113CD"/>
    <w:rsid w:val="0091219D"/>
    <w:rsid w:val="00915226"/>
    <w:rsid w:val="00920630"/>
    <w:rsid w:val="00920FE3"/>
    <w:rsid w:val="0092133E"/>
    <w:rsid w:val="00921DD1"/>
    <w:rsid w:val="00923655"/>
    <w:rsid w:val="00924549"/>
    <w:rsid w:val="00932542"/>
    <w:rsid w:val="00932748"/>
    <w:rsid w:val="009339CB"/>
    <w:rsid w:val="00936071"/>
    <w:rsid w:val="009376CD"/>
    <w:rsid w:val="00940212"/>
    <w:rsid w:val="00940356"/>
    <w:rsid w:val="00942EC2"/>
    <w:rsid w:val="0094342B"/>
    <w:rsid w:val="00943E05"/>
    <w:rsid w:val="0094463C"/>
    <w:rsid w:val="00946431"/>
    <w:rsid w:val="0094671C"/>
    <w:rsid w:val="00953081"/>
    <w:rsid w:val="00953808"/>
    <w:rsid w:val="00957279"/>
    <w:rsid w:val="00961743"/>
    <w:rsid w:val="00961B32"/>
    <w:rsid w:val="00962509"/>
    <w:rsid w:val="009631B4"/>
    <w:rsid w:val="009708A3"/>
    <w:rsid w:val="0097091F"/>
    <w:rsid w:val="00970DB3"/>
    <w:rsid w:val="009711C0"/>
    <w:rsid w:val="00974BB0"/>
    <w:rsid w:val="00975BCD"/>
    <w:rsid w:val="0098081D"/>
    <w:rsid w:val="009818A2"/>
    <w:rsid w:val="00981923"/>
    <w:rsid w:val="009866DD"/>
    <w:rsid w:val="009874C8"/>
    <w:rsid w:val="00987E4E"/>
    <w:rsid w:val="00990A0C"/>
    <w:rsid w:val="009928A9"/>
    <w:rsid w:val="00997A34"/>
    <w:rsid w:val="009A0AF3"/>
    <w:rsid w:val="009A2C4E"/>
    <w:rsid w:val="009A7059"/>
    <w:rsid w:val="009B07CD"/>
    <w:rsid w:val="009B0EA2"/>
    <w:rsid w:val="009B37D5"/>
    <w:rsid w:val="009B385D"/>
    <w:rsid w:val="009B4B0A"/>
    <w:rsid w:val="009B5822"/>
    <w:rsid w:val="009C19E9"/>
    <w:rsid w:val="009D18F2"/>
    <w:rsid w:val="009D6CA9"/>
    <w:rsid w:val="009D74A6"/>
    <w:rsid w:val="009E0E87"/>
    <w:rsid w:val="009E0F98"/>
    <w:rsid w:val="009F65D5"/>
    <w:rsid w:val="00A0409E"/>
    <w:rsid w:val="00A0456F"/>
    <w:rsid w:val="00A045A8"/>
    <w:rsid w:val="00A07B75"/>
    <w:rsid w:val="00A1067A"/>
    <w:rsid w:val="00A10F02"/>
    <w:rsid w:val="00A11A0B"/>
    <w:rsid w:val="00A148ED"/>
    <w:rsid w:val="00A166FD"/>
    <w:rsid w:val="00A17176"/>
    <w:rsid w:val="00A204CA"/>
    <w:rsid w:val="00A209D6"/>
    <w:rsid w:val="00A22738"/>
    <w:rsid w:val="00A25642"/>
    <w:rsid w:val="00A26325"/>
    <w:rsid w:val="00A33E0F"/>
    <w:rsid w:val="00A36F5F"/>
    <w:rsid w:val="00A370B8"/>
    <w:rsid w:val="00A40CB3"/>
    <w:rsid w:val="00A429D7"/>
    <w:rsid w:val="00A430EC"/>
    <w:rsid w:val="00A53724"/>
    <w:rsid w:val="00A54B2B"/>
    <w:rsid w:val="00A54D08"/>
    <w:rsid w:val="00A5776F"/>
    <w:rsid w:val="00A61662"/>
    <w:rsid w:val="00A647C8"/>
    <w:rsid w:val="00A703B6"/>
    <w:rsid w:val="00A71A5A"/>
    <w:rsid w:val="00A72328"/>
    <w:rsid w:val="00A73888"/>
    <w:rsid w:val="00A75BBF"/>
    <w:rsid w:val="00A801C1"/>
    <w:rsid w:val="00A82346"/>
    <w:rsid w:val="00A84D05"/>
    <w:rsid w:val="00A91216"/>
    <w:rsid w:val="00A9671C"/>
    <w:rsid w:val="00A97AAB"/>
    <w:rsid w:val="00AA05B9"/>
    <w:rsid w:val="00AA1553"/>
    <w:rsid w:val="00AA1F31"/>
    <w:rsid w:val="00AA33A5"/>
    <w:rsid w:val="00AA54F6"/>
    <w:rsid w:val="00AA5E37"/>
    <w:rsid w:val="00AB2BB2"/>
    <w:rsid w:val="00AB3831"/>
    <w:rsid w:val="00AB4DB3"/>
    <w:rsid w:val="00AB5169"/>
    <w:rsid w:val="00AB5ECE"/>
    <w:rsid w:val="00AB70D5"/>
    <w:rsid w:val="00AC152D"/>
    <w:rsid w:val="00AC27B4"/>
    <w:rsid w:val="00AC3B01"/>
    <w:rsid w:val="00AC662E"/>
    <w:rsid w:val="00AC73D0"/>
    <w:rsid w:val="00AD0152"/>
    <w:rsid w:val="00AD264B"/>
    <w:rsid w:val="00AD298E"/>
    <w:rsid w:val="00AD7278"/>
    <w:rsid w:val="00AE0C5E"/>
    <w:rsid w:val="00AE415C"/>
    <w:rsid w:val="00B00B49"/>
    <w:rsid w:val="00B05380"/>
    <w:rsid w:val="00B05962"/>
    <w:rsid w:val="00B11778"/>
    <w:rsid w:val="00B15449"/>
    <w:rsid w:val="00B15AC9"/>
    <w:rsid w:val="00B16C2F"/>
    <w:rsid w:val="00B2141A"/>
    <w:rsid w:val="00B256DC"/>
    <w:rsid w:val="00B2673B"/>
    <w:rsid w:val="00B27303"/>
    <w:rsid w:val="00B32990"/>
    <w:rsid w:val="00B4087E"/>
    <w:rsid w:val="00B417FB"/>
    <w:rsid w:val="00B43596"/>
    <w:rsid w:val="00B441DC"/>
    <w:rsid w:val="00B45371"/>
    <w:rsid w:val="00B47FD1"/>
    <w:rsid w:val="00B516BB"/>
    <w:rsid w:val="00B52C30"/>
    <w:rsid w:val="00B53181"/>
    <w:rsid w:val="00B5401B"/>
    <w:rsid w:val="00B56501"/>
    <w:rsid w:val="00B6257E"/>
    <w:rsid w:val="00B6530D"/>
    <w:rsid w:val="00B7069B"/>
    <w:rsid w:val="00B74BFD"/>
    <w:rsid w:val="00B7538C"/>
    <w:rsid w:val="00B77B7C"/>
    <w:rsid w:val="00B83FF8"/>
    <w:rsid w:val="00B84155"/>
    <w:rsid w:val="00B84DB2"/>
    <w:rsid w:val="00B856BB"/>
    <w:rsid w:val="00B95B2F"/>
    <w:rsid w:val="00B96867"/>
    <w:rsid w:val="00BB53EE"/>
    <w:rsid w:val="00BC19E0"/>
    <w:rsid w:val="00BC3555"/>
    <w:rsid w:val="00BC5A82"/>
    <w:rsid w:val="00BC5E27"/>
    <w:rsid w:val="00BC6304"/>
    <w:rsid w:val="00BC7423"/>
    <w:rsid w:val="00BD1436"/>
    <w:rsid w:val="00BD318A"/>
    <w:rsid w:val="00BE5EFA"/>
    <w:rsid w:val="00BF1814"/>
    <w:rsid w:val="00BF4D62"/>
    <w:rsid w:val="00C01883"/>
    <w:rsid w:val="00C071D6"/>
    <w:rsid w:val="00C12B51"/>
    <w:rsid w:val="00C1349A"/>
    <w:rsid w:val="00C1536A"/>
    <w:rsid w:val="00C161AF"/>
    <w:rsid w:val="00C24650"/>
    <w:rsid w:val="00C25465"/>
    <w:rsid w:val="00C327E8"/>
    <w:rsid w:val="00C32DB4"/>
    <w:rsid w:val="00C33079"/>
    <w:rsid w:val="00C35F78"/>
    <w:rsid w:val="00C37A15"/>
    <w:rsid w:val="00C37B5C"/>
    <w:rsid w:val="00C465D2"/>
    <w:rsid w:val="00C53237"/>
    <w:rsid w:val="00C542F3"/>
    <w:rsid w:val="00C54318"/>
    <w:rsid w:val="00C55A12"/>
    <w:rsid w:val="00C6422D"/>
    <w:rsid w:val="00C6553E"/>
    <w:rsid w:val="00C7671D"/>
    <w:rsid w:val="00C819E0"/>
    <w:rsid w:val="00C81F7B"/>
    <w:rsid w:val="00C83A13"/>
    <w:rsid w:val="00C8435D"/>
    <w:rsid w:val="00C8694C"/>
    <w:rsid w:val="00C86F10"/>
    <w:rsid w:val="00C9068C"/>
    <w:rsid w:val="00C9134E"/>
    <w:rsid w:val="00C92967"/>
    <w:rsid w:val="00C95BB5"/>
    <w:rsid w:val="00C970FF"/>
    <w:rsid w:val="00CA00A5"/>
    <w:rsid w:val="00CA06E0"/>
    <w:rsid w:val="00CA2A93"/>
    <w:rsid w:val="00CA3D0C"/>
    <w:rsid w:val="00CA5274"/>
    <w:rsid w:val="00CA5F51"/>
    <w:rsid w:val="00CA654B"/>
    <w:rsid w:val="00CB1F7D"/>
    <w:rsid w:val="00CB2241"/>
    <w:rsid w:val="00CB5110"/>
    <w:rsid w:val="00CB72B8"/>
    <w:rsid w:val="00CC001A"/>
    <w:rsid w:val="00CC1C96"/>
    <w:rsid w:val="00CC3529"/>
    <w:rsid w:val="00CC45B9"/>
    <w:rsid w:val="00CC4C34"/>
    <w:rsid w:val="00CC77BC"/>
    <w:rsid w:val="00CD0BA8"/>
    <w:rsid w:val="00CD4C7B"/>
    <w:rsid w:val="00CD58FE"/>
    <w:rsid w:val="00CD6B92"/>
    <w:rsid w:val="00CE23EF"/>
    <w:rsid w:val="00CE25EE"/>
    <w:rsid w:val="00CE4C92"/>
    <w:rsid w:val="00CE589B"/>
    <w:rsid w:val="00CE62CC"/>
    <w:rsid w:val="00CE6C63"/>
    <w:rsid w:val="00D00CCE"/>
    <w:rsid w:val="00D05E80"/>
    <w:rsid w:val="00D060A2"/>
    <w:rsid w:val="00D07C24"/>
    <w:rsid w:val="00D102F6"/>
    <w:rsid w:val="00D12B4E"/>
    <w:rsid w:val="00D171B3"/>
    <w:rsid w:val="00D17FA9"/>
    <w:rsid w:val="00D24BF5"/>
    <w:rsid w:val="00D25329"/>
    <w:rsid w:val="00D33BE3"/>
    <w:rsid w:val="00D35DAE"/>
    <w:rsid w:val="00D37823"/>
    <w:rsid w:val="00D3792D"/>
    <w:rsid w:val="00D40696"/>
    <w:rsid w:val="00D40F26"/>
    <w:rsid w:val="00D412B8"/>
    <w:rsid w:val="00D41CAC"/>
    <w:rsid w:val="00D44728"/>
    <w:rsid w:val="00D45FE2"/>
    <w:rsid w:val="00D54820"/>
    <w:rsid w:val="00D55E47"/>
    <w:rsid w:val="00D62E19"/>
    <w:rsid w:val="00D63E5A"/>
    <w:rsid w:val="00D64391"/>
    <w:rsid w:val="00D64DFD"/>
    <w:rsid w:val="00D65170"/>
    <w:rsid w:val="00D67CD1"/>
    <w:rsid w:val="00D7155F"/>
    <w:rsid w:val="00D738D6"/>
    <w:rsid w:val="00D74156"/>
    <w:rsid w:val="00D74EE3"/>
    <w:rsid w:val="00D764AE"/>
    <w:rsid w:val="00D77A29"/>
    <w:rsid w:val="00D80795"/>
    <w:rsid w:val="00D80A08"/>
    <w:rsid w:val="00D832E6"/>
    <w:rsid w:val="00D84A95"/>
    <w:rsid w:val="00D854BE"/>
    <w:rsid w:val="00D873E3"/>
    <w:rsid w:val="00D87E00"/>
    <w:rsid w:val="00D900EC"/>
    <w:rsid w:val="00D9134D"/>
    <w:rsid w:val="00D91493"/>
    <w:rsid w:val="00D91BC3"/>
    <w:rsid w:val="00D929F5"/>
    <w:rsid w:val="00D92AFC"/>
    <w:rsid w:val="00D9600A"/>
    <w:rsid w:val="00D96BFB"/>
    <w:rsid w:val="00D96D11"/>
    <w:rsid w:val="00D96D7E"/>
    <w:rsid w:val="00DA3943"/>
    <w:rsid w:val="00DA7A03"/>
    <w:rsid w:val="00DB0DB8"/>
    <w:rsid w:val="00DB1818"/>
    <w:rsid w:val="00DB3C05"/>
    <w:rsid w:val="00DB56CE"/>
    <w:rsid w:val="00DB62C1"/>
    <w:rsid w:val="00DB67E8"/>
    <w:rsid w:val="00DB7582"/>
    <w:rsid w:val="00DB7C55"/>
    <w:rsid w:val="00DC309B"/>
    <w:rsid w:val="00DC403C"/>
    <w:rsid w:val="00DC4DA2"/>
    <w:rsid w:val="00DC5261"/>
    <w:rsid w:val="00DC6584"/>
    <w:rsid w:val="00DD0B0B"/>
    <w:rsid w:val="00DD4FF4"/>
    <w:rsid w:val="00DD6FBC"/>
    <w:rsid w:val="00DE06D0"/>
    <w:rsid w:val="00DE0D70"/>
    <w:rsid w:val="00DE1939"/>
    <w:rsid w:val="00DE25D2"/>
    <w:rsid w:val="00DE75EC"/>
    <w:rsid w:val="00DF3F99"/>
    <w:rsid w:val="00DF48FB"/>
    <w:rsid w:val="00DF7708"/>
    <w:rsid w:val="00DF7C20"/>
    <w:rsid w:val="00DF7F90"/>
    <w:rsid w:val="00E01B89"/>
    <w:rsid w:val="00E038FB"/>
    <w:rsid w:val="00E0751D"/>
    <w:rsid w:val="00E07C1B"/>
    <w:rsid w:val="00E10B74"/>
    <w:rsid w:val="00E13D50"/>
    <w:rsid w:val="00E1602C"/>
    <w:rsid w:val="00E16B3D"/>
    <w:rsid w:val="00E21B4A"/>
    <w:rsid w:val="00E37505"/>
    <w:rsid w:val="00E41DA5"/>
    <w:rsid w:val="00E42F0F"/>
    <w:rsid w:val="00E4325C"/>
    <w:rsid w:val="00E46C08"/>
    <w:rsid w:val="00E471CF"/>
    <w:rsid w:val="00E509D5"/>
    <w:rsid w:val="00E5175B"/>
    <w:rsid w:val="00E53183"/>
    <w:rsid w:val="00E543DC"/>
    <w:rsid w:val="00E551D7"/>
    <w:rsid w:val="00E57409"/>
    <w:rsid w:val="00E61407"/>
    <w:rsid w:val="00E62356"/>
    <w:rsid w:val="00E62835"/>
    <w:rsid w:val="00E6480E"/>
    <w:rsid w:val="00E7025E"/>
    <w:rsid w:val="00E704F3"/>
    <w:rsid w:val="00E769B8"/>
    <w:rsid w:val="00E76D49"/>
    <w:rsid w:val="00E77645"/>
    <w:rsid w:val="00E83697"/>
    <w:rsid w:val="00E84F9A"/>
    <w:rsid w:val="00E859B6"/>
    <w:rsid w:val="00E8775B"/>
    <w:rsid w:val="00E9015E"/>
    <w:rsid w:val="00E9134B"/>
    <w:rsid w:val="00E95AED"/>
    <w:rsid w:val="00E975ED"/>
    <w:rsid w:val="00EA2C04"/>
    <w:rsid w:val="00EA66C9"/>
    <w:rsid w:val="00EA7EC8"/>
    <w:rsid w:val="00EB12B8"/>
    <w:rsid w:val="00EB3C04"/>
    <w:rsid w:val="00EB5D32"/>
    <w:rsid w:val="00EB69B2"/>
    <w:rsid w:val="00EC0692"/>
    <w:rsid w:val="00EC22D1"/>
    <w:rsid w:val="00EC4A25"/>
    <w:rsid w:val="00ED04D9"/>
    <w:rsid w:val="00ED4E14"/>
    <w:rsid w:val="00ED6181"/>
    <w:rsid w:val="00ED6CBC"/>
    <w:rsid w:val="00EE5587"/>
    <w:rsid w:val="00EF0E9C"/>
    <w:rsid w:val="00EF3206"/>
    <w:rsid w:val="00EF5544"/>
    <w:rsid w:val="00EF563D"/>
    <w:rsid w:val="00EF612C"/>
    <w:rsid w:val="00F00621"/>
    <w:rsid w:val="00F01CB7"/>
    <w:rsid w:val="00F025A2"/>
    <w:rsid w:val="00F029F8"/>
    <w:rsid w:val="00F036E9"/>
    <w:rsid w:val="00F03D16"/>
    <w:rsid w:val="00F045F2"/>
    <w:rsid w:val="00F07388"/>
    <w:rsid w:val="00F17543"/>
    <w:rsid w:val="00F2026E"/>
    <w:rsid w:val="00F2210A"/>
    <w:rsid w:val="00F248F3"/>
    <w:rsid w:val="00F26D64"/>
    <w:rsid w:val="00F31372"/>
    <w:rsid w:val="00F36C27"/>
    <w:rsid w:val="00F37743"/>
    <w:rsid w:val="00F37821"/>
    <w:rsid w:val="00F37C16"/>
    <w:rsid w:val="00F40BA4"/>
    <w:rsid w:val="00F40FAC"/>
    <w:rsid w:val="00F41EF4"/>
    <w:rsid w:val="00F54895"/>
    <w:rsid w:val="00F54A3D"/>
    <w:rsid w:val="00F54CB0"/>
    <w:rsid w:val="00F5761A"/>
    <w:rsid w:val="00F57809"/>
    <w:rsid w:val="00F579CD"/>
    <w:rsid w:val="00F611AA"/>
    <w:rsid w:val="00F61332"/>
    <w:rsid w:val="00F653B8"/>
    <w:rsid w:val="00F66452"/>
    <w:rsid w:val="00F66FFA"/>
    <w:rsid w:val="00F71B89"/>
    <w:rsid w:val="00F7353C"/>
    <w:rsid w:val="00F7454B"/>
    <w:rsid w:val="00F76F8F"/>
    <w:rsid w:val="00F82BFE"/>
    <w:rsid w:val="00F83420"/>
    <w:rsid w:val="00F83C8D"/>
    <w:rsid w:val="00F8612B"/>
    <w:rsid w:val="00F87257"/>
    <w:rsid w:val="00F90998"/>
    <w:rsid w:val="00F941DF"/>
    <w:rsid w:val="00F95743"/>
    <w:rsid w:val="00FA1266"/>
    <w:rsid w:val="00FA320F"/>
    <w:rsid w:val="00FA7907"/>
    <w:rsid w:val="00FB280A"/>
    <w:rsid w:val="00FB36FA"/>
    <w:rsid w:val="00FB4A5B"/>
    <w:rsid w:val="00FB62ED"/>
    <w:rsid w:val="00FB6395"/>
    <w:rsid w:val="00FC0F89"/>
    <w:rsid w:val="00FC1192"/>
    <w:rsid w:val="00FC1B2F"/>
    <w:rsid w:val="00FC6B5F"/>
    <w:rsid w:val="00FD1D1A"/>
    <w:rsid w:val="00FE106D"/>
    <w:rsid w:val="00FE251B"/>
    <w:rsid w:val="00FE3F6D"/>
    <w:rsid w:val="00FF32C1"/>
    <w:rsid w:val="0BA90138"/>
    <w:rsid w:val="0EA634F7"/>
    <w:rsid w:val="110AD694"/>
    <w:rsid w:val="13B69355"/>
    <w:rsid w:val="167D1378"/>
    <w:rsid w:val="16845CE7"/>
    <w:rsid w:val="19FF55AE"/>
    <w:rsid w:val="1B3C73DD"/>
    <w:rsid w:val="238E6682"/>
    <w:rsid w:val="2543211B"/>
    <w:rsid w:val="289192C7"/>
    <w:rsid w:val="54564F13"/>
    <w:rsid w:val="5D6D0FEA"/>
    <w:rsid w:val="6284490C"/>
    <w:rsid w:val="659BC8CB"/>
    <w:rsid w:val="6C02537B"/>
    <w:rsid w:val="72567D59"/>
    <w:rsid w:val="788EF56E"/>
    <w:rsid w:val="7B05F347"/>
    <w:rsid w:val="7F482B67"/>
    <w:rsid w:val="7F492FD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D4B28ECB-A0FA-4537-A9C5-AB43ED0DC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table" w:styleId="TableGrid">
    <w:name w:val="Table Grid"/>
    <w:basedOn w:val="TableNormal"/>
    <w:rsid w:val="00CA5F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A5F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A5F51"/>
    <w:rPr>
      <w:rFonts w:ascii="Arial" w:eastAsia="MS Mincho" w:hAnsi="Arial"/>
      <w:szCs w:val="24"/>
    </w:rPr>
  </w:style>
  <w:style w:type="paragraph" w:customStyle="1" w:styleId="Agreement">
    <w:name w:val="Agreement"/>
    <w:basedOn w:val="Normal"/>
    <w:next w:val="Doc-text2"/>
    <w:uiPriority w:val="99"/>
    <w:qFormat/>
    <w:rsid w:val="00CA5F51"/>
    <w:pPr>
      <w:numPr>
        <w:numId w:val="8"/>
      </w:numPr>
      <w:spacing w:before="60" w:after="0"/>
    </w:pPr>
    <w:rPr>
      <w:rFonts w:ascii="Arial" w:eastAsia="MS Mincho" w:hAnsi="Arial"/>
      <w:b/>
      <w:szCs w:val="24"/>
      <w:lang w:eastAsia="en-GB"/>
    </w:rPr>
  </w:style>
  <w:style w:type="paragraph" w:styleId="ListParagraph">
    <w:name w:val="List Paragraph"/>
    <w:basedOn w:val="Normal"/>
    <w:uiPriority w:val="34"/>
    <w:qFormat/>
    <w:rsid w:val="00F36C27"/>
    <w:pPr>
      <w:ind w:left="720"/>
      <w:contextualSpacing/>
    </w:pPr>
  </w:style>
  <w:style w:type="paragraph" w:styleId="Revision">
    <w:name w:val="Revision"/>
    <w:hidden/>
    <w:uiPriority w:val="99"/>
    <w:semiHidden/>
    <w:rsid w:val="0046493B"/>
    <w:rPr>
      <w:lang w:eastAsia="en-US"/>
    </w:rPr>
  </w:style>
  <w:style w:type="paragraph" w:styleId="CommentSubject">
    <w:name w:val="annotation subject"/>
    <w:basedOn w:val="CommentText"/>
    <w:next w:val="CommentText"/>
    <w:link w:val="CommentSubjectChar"/>
    <w:rsid w:val="009E0F98"/>
    <w:rPr>
      <w:b/>
      <w:bCs/>
    </w:rPr>
  </w:style>
  <w:style w:type="character" w:customStyle="1" w:styleId="CommentSubjectChar">
    <w:name w:val="Comment Subject Char"/>
    <w:basedOn w:val="CommentTextChar"/>
    <w:link w:val="CommentSubject"/>
    <w:rsid w:val="009E0F98"/>
    <w:rPr>
      <w:b/>
      <w:bCs/>
      <w:lang w:eastAsia="en-US"/>
    </w:rPr>
  </w:style>
  <w:style w:type="character" w:styleId="Mention">
    <w:name w:val="Mention"/>
    <w:basedOn w:val="DefaultParagraphFont"/>
    <w:uiPriority w:val="99"/>
    <w:unhideWhenUsed/>
    <w:rsid w:val="004E5F93"/>
    <w:rPr>
      <w:color w:val="2B579A"/>
      <w:shd w:val="clear" w:color="auto" w:fill="E1DFDD"/>
    </w:rPr>
  </w:style>
  <w:style w:type="paragraph" w:styleId="Caption">
    <w:name w:val="caption"/>
    <w:basedOn w:val="Normal"/>
    <w:next w:val="Normal"/>
    <w:unhideWhenUsed/>
    <w:qFormat/>
    <w:rsid w:val="007F0568"/>
    <w:pPr>
      <w:spacing w:after="200"/>
    </w:pPr>
    <w:rPr>
      <w:i/>
      <w:iCs/>
      <w:color w:val="44546A" w:themeColor="text2"/>
      <w:sz w:val="18"/>
      <w:szCs w:val="18"/>
    </w:rPr>
  </w:style>
  <w:style w:type="character" w:customStyle="1" w:styleId="Heading1Char">
    <w:name w:val="Heading 1 Char"/>
    <w:basedOn w:val="DefaultParagraphFont"/>
    <w:link w:val="Heading1"/>
    <w:rsid w:val="007A40E9"/>
    <w:rPr>
      <w:rFonts w:ascii="Arial" w:hAnsi="Arial"/>
      <w:sz w:val="36"/>
      <w:lang w:eastAsia="en-US"/>
    </w:rPr>
  </w:style>
  <w:style w:type="table" w:customStyle="1" w:styleId="TableGrid1">
    <w:name w:val="Table Grid1"/>
    <w:basedOn w:val="TableNormal"/>
    <w:next w:val="TableGrid"/>
    <w:uiPriority w:val="39"/>
    <w:rsid w:val="007A40E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894545">
      <w:bodyDiv w:val="1"/>
      <w:marLeft w:val="0"/>
      <w:marRight w:val="0"/>
      <w:marTop w:val="0"/>
      <w:marBottom w:val="0"/>
      <w:divBdr>
        <w:top w:val="none" w:sz="0" w:space="0" w:color="auto"/>
        <w:left w:val="none" w:sz="0" w:space="0" w:color="auto"/>
        <w:bottom w:val="none" w:sz="0" w:space="0" w:color="auto"/>
        <w:right w:val="none" w:sz="0" w:space="0" w:color="auto"/>
      </w:divBdr>
    </w:div>
    <w:div w:id="100296668">
      <w:bodyDiv w:val="1"/>
      <w:marLeft w:val="0"/>
      <w:marRight w:val="0"/>
      <w:marTop w:val="0"/>
      <w:marBottom w:val="0"/>
      <w:divBdr>
        <w:top w:val="none" w:sz="0" w:space="0" w:color="auto"/>
        <w:left w:val="none" w:sz="0" w:space="0" w:color="auto"/>
        <w:bottom w:val="none" w:sz="0" w:space="0" w:color="auto"/>
        <w:right w:val="none" w:sz="0" w:space="0" w:color="auto"/>
      </w:divBdr>
    </w:div>
    <w:div w:id="194731633">
      <w:bodyDiv w:val="1"/>
      <w:marLeft w:val="0"/>
      <w:marRight w:val="0"/>
      <w:marTop w:val="0"/>
      <w:marBottom w:val="0"/>
      <w:divBdr>
        <w:top w:val="none" w:sz="0" w:space="0" w:color="auto"/>
        <w:left w:val="none" w:sz="0" w:space="0" w:color="auto"/>
        <w:bottom w:val="none" w:sz="0" w:space="0" w:color="auto"/>
        <w:right w:val="none" w:sz="0" w:space="0" w:color="auto"/>
      </w:divBdr>
    </w:div>
    <w:div w:id="39998335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535435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43680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5AIRPNAIUNRU-859666464-14733</_dlc_DocId>
    <_dlc_DocIdUrl xmlns="71c5aaf6-e6ce-465b-b873-5148d2a4c105">
      <Url>https://nokia.sharepoint.com/sites/c5g/e2earch/_layouts/15/DocIdRedir.aspx?ID=5AIRPNAIUNRU-859666464-14733</Url>
      <Description>5AIRPNAIUNRU-859666464-14733</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4.xml><?xml version="1.0" encoding="utf-8"?>
<ds:datastoreItem xmlns:ds="http://schemas.openxmlformats.org/officeDocument/2006/customXml" ds:itemID="{F23B1E89-F06B-4EF0-BA96-290BF239608C}">
  <ds:schemaRefs>
    <ds:schemaRef ds:uri="http://schemas.openxmlformats.org/officeDocument/2006/bibliography"/>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DB5A6FE1-B129-42F1-B8BE-F9CB80BB58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104</TotalTime>
  <Pages>1</Pages>
  <Words>1747</Words>
  <Characters>9961</Characters>
  <Application>Microsoft Office Word</Application>
  <DocSecurity>4</DocSecurity>
  <Lines>83</Lines>
  <Paragraphs>23</Paragraphs>
  <ScaleCrop>false</ScaleCrop>
  <Manager/>
  <Company>Nokia</Company>
  <LinksUpToDate>false</LinksUpToDate>
  <CharactersWithSpaces>11685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70</cp:revision>
  <dcterms:created xsi:type="dcterms:W3CDTF">2023-08-03T06:27:00Z</dcterms:created>
  <dcterms:modified xsi:type="dcterms:W3CDTF">2023-08-11T15:17:00Z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56e080e7-1572-4893-a91f-446aef21ffdd</vt:lpwstr>
  </property>
  <property fmtid="{D5CDD505-2E9C-101B-9397-08002B2CF9AE}" pid="4" name="GrammarlyDocumentId">
    <vt:lpwstr>016632082df9dc41072e24cf5963de530710eadfa63c1a72aa6748c9dbd79111</vt:lpwstr>
  </property>
  <property fmtid="{D5CDD505-2E9C-101B-9397-08002B2CF9AE}" pid="5" name="MediaServiceImageTags">
    <vt:lpwstr/>
  </property>
</Properties>
</file>